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120"/>
      </w:pPr>
      <w:r>
        <w:rPr>
          <w:rFonts w:ascii="Calibri" w:cs="Calibri" w:eastAsia="Calibri" w:hAnsi="Calibri"/>
          <w:b/>
          <w:bCs/>
          <w:color w:val="333333"/>
          <w:sz w:val="48"/>
          <w:szCs w:val="48"/>
        </w:rPr>
        <w:t xml:space="preserve">Constellation Software Inc. (TSX: CSU)</w:t>
      </w:r>
    </w:p>
    <w:p>
      <w:pPr>
        <w:spacing w:after="120"/>
      </w:pPr>
      <w:r>
        <w:rPr>
          <w:rFonts w:ascii="Calibri" w:cs="Calibri" w:eastAsia="Calibri" w:hAnsi="Calibri"/>
          <w:i/>
          <w:iCs/>
          <w:color w:val="006D6D"/>
          <w:sz w:val="28"/>
          <w:szCs w:val="28"/>
        </w:rPr>
        <w:t xml:space="preserve">The Acquisition Machine at Scale -- Initiating Coverage: BUY | 12-Month Price Target: CAD $2,750</w:t>
      </w:r>
    </w:p>
    <w:p>
      <w:pPr>
        <w:spacing w:after="360"/>
      </w:pPr>
      <w:r>
        <w:rPr>
          <w:rFonts w:ascii="Calibri" w:cs="Calibri" w:eastAsia="Calibri" w:hAnsi="Calibri"/>
          <w:color w:val="666666"/>
          <w:sz w:val="22"/>
          <w:szCs w:val="22"/>
        </w:rPr>
        <w:t xml:space="preserve">EQUITY RESEARCH -- INITIATING COVERAGE | March 29, 2026</w:t>
      </w:r>
    </w:p>
    <w:p>
      <w:pPr>
        <w:pStyle w:val="Heading1"/>
        <w:spacing w:after="120" w:before="240"/>
      </w:pPr>
      <w:r>
        <w:rPr>
          <w:rFonts w:ascii="Calibri" w:cs="Calibri" w:eastAsia="Calibri" w:hAnsi="Calibri"/>
          <w:b/>
          <w:bCs/>
          <w:color w:val="333333"/>
          <w:sz w:val="32"/>
          <w:szCs w:val="32"/>
        </w:rPr>
        <w:t xml:space="preserve">Cover Summary</w:t>
      </w:r>
    </w:p>
    <w:p>
      <w:pPr>
        <w:spacing w:after="200" w:line="276"/>
      </w:pPr>
      <w:r>
        <w:rPr>
          <w:rFonts w:ascii="Calibri" w:cs="Calibri" w:eastAsia="Calibri" w:hAnsi="Calibri"/>
          <w:color w:val="333333"/>
          <w:sz w:val="24"/>
          <w:szCs w:val="24"/>
        </w:rPr>
        <w:t xml:space="preserve">This report is prepared solely for informational purposes using publicly available company filings and disclosed market data. All financial figures in USD unless otherwise stated. CAD/USD = 1.39 (March 29, 2026 rate). This document does not constitute investment advice.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Metric</w:t>
            </w:r>
          </w:p>
        </w:tc>
        <w:tc>
          <w:tcPr>
            <w:tcW w:type="dxa" w:w="468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Value</w:t>
            </w:r>
          </w:p>
        </w:tc>
      </w:tr>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Rating</w:t>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BUY</w:t>
            </w:r>
          </w:p>
        </w:tc>
      </w:tr>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12-Month Price Target (CAD)</w:t>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$2,750</w:t>
            </w:r>
          </w:p>
        </w:tc>
      </w:tr>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Current Price (March 29, 2026, CAD)</w:t>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$2,358.89</w:t>
            </w:r>
          </w:p>
        </w:tc>
      </w:tr>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Upside to Target</w:t>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~16.6%</w:t>
            </w:r>
          </w:p>
        </w:tc>
      </w:tr>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Market Capitalization (CAD)</w:t>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~$49.99B</w:t>
            </w:r>
          </w:p>
        </w:tc>
      </w:tr>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Reporting Currency</w:t>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USD</w:t>
            </w:r>
          </w:p>
        </w:tc>
      </w:tr>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Exchange</w:t>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TSX -- Toronto Stock Exchange</w:t>
            </w:r>
          </w:p>
        </w:tc>
      </w:tr>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Shares Outstanding (diluted)</w:t>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~21.2M</w:t>
            </w:r>
          </w:p>
        </w:tc>
      </w:tr>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FY2025 Revenue (USD)</w:t>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$11,623M</w:t>
            </w:r>
          </w:p>
        </w:tc>
      </w:tr>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FY2025 FCFA2S (USD)</w:t>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$1,683M</w:t>
            </w:r>
          </w:p>
        </w:tc>
      </w:tr>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FY2025 EPS (USD, diluted)</w:t>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$24.15</w:t>
            </w:r>
          </w:p>
        </w:tc>
      </w:tr>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Report Date</w:t>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March 29, 2026</w:t>
            </w:r>
          </w:p>
        </w:tc>
      </w:tr>
    </w:tbl>
    <w:p>
      <w:pPr>
        <w:spacing w:after="200"/>
      </w:pPr>
    </w:p>
    <w:p>
      <w:pPr>
        <w:pStyle w:val="Heading1"/>
        <w:spacing w:after="120" w:before="240"/>
      </w:pPr>
      <w:r>
        <w:rPr>
          <w:rFonts w:ascii="Calibri" w:cs="Calibri" w:eastAsia="Calibri" w:hAnsi="Calibri"/>
          <w:b/>
          <w:bCs/>
          <w:color w:val="333333"/>
          <w:sz w:val="32"/>
          <w:szCs w:val="32"/>
        </w:rPr>
        <w:t xml:space="preserve">Executive Summary</w:t>
      </w:r>
    </w:p>
    <w:p>
      <w:pPr>
        <w:spacing w:after="200" w:line="276"/>
      </w:pPr>
      <w:r>
        <w:rPr>
          <w:rFonts w:ascii="Calibri" w:cs="Calibri" w:eastAsia="Calibri" w:hAnsi="Calibri"/>
          <w:color w:val="333333"/>
          <w:sz w:val="24"/>
          <w:szCs w:val="24"/>
        </w:rPr>
        <w:t xml:space="preserve">We initiate coverage of Constellation Software Inc. (TSX: CSU) with a BUY rating and a 12-month price target of CAD $2,750 (~16.6% upside from the March 29, 2026 closing price of CAD $2,358.89). CSU is the most durable compounder in the North American software universe, having grown revenue at a ~24% CAGR from FY2021 to FY2025 while converting over 60% of CFO into free cash flow available to shareholders (FCFA2S). The investment case rests on three structural pillars: (1) near-zero customer churn in mission-critical vertical market software (VMS), (2) a capital-recycling flywheel that has deployed $7.4B in acquisitions over FY2021-FY2025 at returns well above cost of capital, and (3) a management team -- anchored by founder Mark Leonard -- whose capital allocation record is among the best in global software.</w:t>
      </w:r>
    </w:p>
    <w:p>
      <w:pPr>
        <w:spacing w:after="200" w:line="276"/>
      </w:pPr>
      <w:r>
        <w:rPr>
          <w:rFonts w:ascii="Calibri" w:cs="Calibri" w:eastAsia="Calibri" w:hAnsi="Calibri"/>
          <w:color w:val="333333"/>
          <w:sz w:val="24"/>
          <w:szCs w:val="24"/>
        </w:rPr>
        <w:t xml:space="preserve">FY2025 confirmed the model's resilience: revenue grew 15% to $11,623M (5% organic), FCFA2S expanded 14% to $1,683M, and CSU closed $1,579M in acquisitions while ending the year with $3,089M of cash and no covenant pressure. The FY2025 GAAP net income figure of $512M was depressed by a $260M non-cash Asseco Poland equity-method revaluation charge -- stripping this, core net income attributable to CSI shareholders would have been approximately $637M+ (Source: Q3 2025 Press Release, income statement).</w:t>
      </w:r>
    </w:p>
    <w:p>
      <w:pPr>
        <w:spacing w:after="200" w:line="276"/>
      </w:pPr>
      <w:r>
        <w:rPr>
          <w:rFonts w:ascii="Calibri" w:cs="Calibri" w:eastAsia="Calibri" w:hAnsi="Calibri"/>
          <w:color w:val="333333"/>
          <w:sz w:val="24"/>
          <w:szCs w:val="24"/>
        </w:rPr>
        <w:t xml:space="preserve">Our variant perception: the market prices CSU as a steady-state compounder at 30x FCFA2S, implying ~4-5% organic growth and modest M&amp;A optionality. We believe this underweights (a) the Topicus/Lumine autonomous-subsidiary model's ability to source deals outside CSU's historical VMS hunting grounds, (b) the secular under-penetration of VMS consolidation globally (Mark Leonard's 2021 letter notes CSI is invited to only 16% of large VMS processes), and (c) the structural improvement in FCFA2S conversion as the IRGA/TSS revaluation charge mechanically declines. At our base-case DCF ($2,690/share CAD), CSU trades at a ~1% discount to intrinsic value -- a narrow margin of safety but justified by the quality premium.</w:t>
      </w:r>
    </w:p>
    <w:p>
      <w:pPr>
        <w:spacing w:after="200" w:line="276"/>
      </w:pPr>
      <w:r>
        <w:rPr>
          <w:rFonts w:ascii="Calibri" w:cs="Calibri" w:eastAsia="Calibri" w:hAnsi="Calibri"/>
          <w:color w:val="333333"/>
          <w:sz w:val="24"/>
          <w:szCs w:val="24"/>
        </w:rPr>
        <w:t xml:space="preserve">Key risks: acquisition discipline erosion at lower hurdle rates (explicitly flagged by Mark Leonard in his February 2021 letter), FX headwinds given ~40%+ non-USD revenue, and key-person dependency on Leonard. We model a 12% probability-weighted risk haircut of approximately CAD $290/share, absorbed in our target derivation.</w:t>
      </w:r>
    </w:p>
    <w:p>
      <w:pPr>
        <w:spacing w:after="200" w:line="276"/>
      </w:pPr>
      <w:r>
        <w:rPr>
          <w:rFonts w:ascii="Calibri" w:cs="Calibri" w:eastAsia="Calibri" w:hAnsi="Calibri"/>
          <w:color w:val="333333"/>
          <w:sz w:val="24"/>
          <w:szCs w:val="24"/>
        </w:rPr>
        <w:t xml:space="preserve">Investor Implication: At current prices, CSU offers a rare combination of high FCF quality, disciplined capital allocation, and a variant-perception catalyst in autonomous subsidiary expansion -- making it a core holding for long-duration software investors.</w:t>
      </w:r>
    </w:p>
    <w:p>
      <w:pPr>
        <w:pStyle w:val="Heading1"/>
        <w:spacing w:after="120" w:before="240"/>
      </w:pPr>
      <w:r>
        <w:rPr>
          <w:rFonts w:ascii="Calibri" w:cs="Calibri" w:eastAsia="Calibri" w:hAnsi="Calibri"/>
          <w:b/>
          <w:bCs/>
          <w:color w:val="333333"/>
          <w:sz w:val="32"/>
          <w:szCs w:val="32"/>
        </w:rPr>
        <w:t xml:space="preserve">Section 0 -- Company Profile and KPI Framework</w:t>
      </w:r>
    </w:p>
    <w:p>
      <w:pPr>
        <w:pStyle w:val="Heading2"/>
        <w:spacing w:after="120" w:before="240"/>
      </w:pPr>
      <w:r>
        <w:rPr>
          <w:rFonts w:ascii="Calibri" w:cs="Calibri" w:eastAsia="Calibri" w:hAnsi="Calibri"/>
          <w:b/>
          <w:bCs/>
          <w:color w:val="006D6D"/>
          <w:sz w:val="28"/>
          <w:szCs w:val="28"/>
        </w:rPr>
        <w:t xml:space="preserve">0A -- Company Identity</w:t>
      </w:r>
    </w:p>
    <w:p>
      <w:pPr>
        <w:spacing w:after="200" w:line="276"/>
      </w:pPr>
      <w:r>
        <w:rPr>
          <w:rFonts w:ascii="Calibri" w:cs="Calibri" w:eastAsia="Calibri" w:hAnsi="Calibri"/>
          <w:color w:val="333333"/>
          <w:sz w:val="24"/>
          <w:szCs w:val="24"/>
        </w:rPr>
        <w:t xml:space="preserve">Sources: FY2024 Press Release; FY2021 Press Release; Mark Leonard 2021 Shareholder Letter; 2018 Presidents Letter.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Field</w:t>
            </w:r>
          </w:p>
        </w:tc>
        <w:tc>
          <w:tcPr>
            <w:tcW w:type="dxa" w:w="468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Detail</w:t>
            </w:r>
          </w:p>
        </w:tc>
      </w:tr>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Legal Name</w:t>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Constellation Software Inc.</w:t>
            </w:r>
          </w:p>
        </w:tc>
      </w:tr>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Ticker(s)</w:t>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TSX: CSU</w:t>
            </w:r>
          </w:p>
        </w:tc>
      </w:tr>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Exchange</w:t>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Toronto Stock Exchange (TSX)</w:t>
            </w:r>
          </w:p>
        </w:tc>
      </w:tr>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Headquarters</w:t>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Toronto, Ontario, Canada</w:t>
            </w:r>
          </w:p>
        </w:tc>
      </w:tr>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Country of Incorporation</w:t>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Canada</w:t>
            </w:r>
          </w:p>
        </w:tc>
      </w:tr>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Founding Date</w:t>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1995</w:t>
            </w:r>
          </w:p>
        </w:tc>
      </w:tr>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IPO Date</w:t>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May 2006 (TSX)</w:t>
            </w:r>
          </w:p>
        </w:tc>
      </w:tr>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Industry / Sector</w:t>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Software -- Vertical Market Software (VMS); Application Software</w:t>
            </w:r>
          </w:p>
        </w:tc>
      </w:tr>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Employee Count</w:t>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Not disclosed as a single figure; operating groups disclose independently</w:t>
            </w:r>
          </w:p>
        </w:tc>
      </w:tr>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Fiscal Year End</w:t>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December 31</w:t>
            </w:r>
          </w:p>
        </w:tc>
      </w:tr>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Operating Geographies</w:t>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North America (largest), Europe (material), rest of world; exact % not disclosed by region in press releases</w:t>
            </w:r>
          </w:p>
        </w:tc>
      </w:tr>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Reporting Currency</w:t>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USD</w:t>
            </w:r>
          </w:p>
        </w:tc>
      </w:tr>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Auditor</w:t>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KPMG LLP (disclosed in annual filings)</w:t>
            </w:r>
          </w:p>
        </w:tc>
      </w:tr>
    </w:tbl>
    <w:p>
      <w:pPr>
        <w:spacing w:after="200"/>
      </w:pPr>
    </w:p>
    <w:p>
      <w:pPr>
        <w:pStyle w:val="Heading2"/>
        <w:spacing w:after="120" w:before="240"/>
      </w:pPr>
      <w:r>
        <w:rPr>
          <w:rFonts w:ascii="Calibri" w:cs="Calibri" w:eastAsia="Calibri" w:hAnsi="Calibri"/>
          <w:b/>
          <w:bCs/>
          <w:color w:val="006D6D"/>
          <w:sz w:val="28"/>
          <w:szCs w:val="28"/>
        </w:rPr>
        <w:t xml:space="preserve">0B -- Business Model Narrative</w:t>
      </w:r>
    </w:p>
    <w:p>
      <w:pPr>
        <w:spacing w:after="200" w:line="276"/>
      </w:pPr>
      <w:r>
        <w:rPr>
          <w:rFonts w:ascii="Calibri" w:cs="Calibri" w:eastAsia="Calibri" w:hAnsi="Calibri"/>
          <w:color w:val="333333"/>
          <w:sz w:val="24"/>
          <w:szCs w:val="24"/>
        </w:rPr>
        <w:t xml:space="preserve">Constellation Software Inc. acquires, manages, and builds vertical market software (VMS) businesses -- niche software companies that serve a single industry vertical (e.g., municipal government, auto dealerships, fitness clubs, veterinary practices) with mission-critical workflow tools. These are not horizontal enterprise platforms; they are purpose-built systems that embed deeply into a customer's daily operations. CSU does not develop greenfield software organically at scale: its model is to buy established VMS businesses, install a performance-management framework, and hold them permanently while redeploying cash flows into further acquisitions.</w:t>
      </w:r>
    </w:p>
    <w:p>
      <w:pPr>
        <w:spacing w:after="200" w:line="276"/>
      </w:pPr>
      <w:r>
        <w:rPr>
          <w:rFonts w:ascii="Calibri" w:cs="Calibri" w:eastAsia="Calibri" w:hAnsi="Calibri"/>
          <w:color w:val="333333"/>
          <w:sz w:val="24"/>
          <w:szCs w:val="24"/>
        </w:rPr>
        <w:t xml:space="preserve">Revenue is generated primarily from software maintenance and support contracts (approximately 75% of revenue as at Q3 2025), supplemented by professional services, perpetual licenses, and hardware resale. Maintenance revenue is largely recurring, paid annually or quarterly, and exhibits near-zero churn because switching costs in mission-critical vertical software are extremely high -- customers risk operational disruption far exceeding the software subscription cost.</w:t>
      </w:r>
    </w:p>
    <w:p>
      <w:pPr>
        <w:spacing w:after="200" w:line="276"/>
      </w:pPr>
      <w:r>
        <w:rPr>
          <w:rFonts w:ascii="Calibri" w:cs="Calibri" w:eastAsia="Calibri" w:hAnsi="Calibri"/>
          <w:color w:val="333333"/>
          <w:sz w:val="24"/>
          <w:szCs w:val="24"/>
        </w:rPr>
        <w:t xml:space="preserve">CSU operates through six principal operating groups: Volaris, Jonas, Harris, Perseus, Vela, and Topicus (which was spun out as a separately listed entity on the TSX Venture Exchange in January 2021 but remains majority-controlled by CSU). Lumine Group, a subsidiary of Topicus, focuses on communications and media VMS. Each operating group has autonomous acquisition and capital allocation authority within CSU's overarching framework. The business is asset-light: capex is negligible (FY2025 estimated ~$88M on $11.6B revenue, &lt;1%) and working capital is negative (customers pre-pay annual maintenance).</w:t>
      </w:r>
    </w:p>
    <w:p>
      <w:pPr>
        <w:spacing w:after="200" w:line="276"/>
      </w:pPr>
      <w:r>
        <w:rPr>
          <w:rFonts w:ascii="Calibri" w:cs="Calibri" w:eastAsia="Calibri" w:hAnsi="Calibri"/>
          <w:color w:val="333333"/>
          <w:sz w:val="24"/>
          <w:szCs w:val="24"/>
        </w:rPr>
        <w:t xml:space="preserve">Legal reporting segments: CSU reports as a single segment in its press releases and does not break out operating group P&amp;Ls publicly. Management's internal view operates through the six named operating groups, each with its own president and acquisition team. This creates a material analytical gap: segment-level returns on invested capital are not disclosed.</w:t>
      </w:r>
    </w:p>
    <w:p>
      <w:pPr>
        <w:spacing w:after="200" w:line="276"/>
      </w:pPr>
      <w:r>
        <w:rPr>
          <w:rFonts w:ascii="Calibri" w:cs="Calibri" w:eastAsia="Calibri" w:hAnsi="Calibri"/>
          <w:color w:val="333333"/>
          <w:sz w:val="24"/>
          <w:szCs w:val="24"/>
        </w:rPr>
        <w:t xml:space="preserve">Business model classification: Primary -- software licensing and maintenance (subscription-like recurring revenue); Secondary -- acquisition-driven capital compounder (PE-style serial acquirer within a public company structure). Revenue attribution: ~75% maintenance/recurring, ~18% professional services, ~4% license, ~3% hardware (Source: Q3 2025 Press Release revenue mix).</w:t>
      </w:r>
    </w:p>
    <w:p>
      <w:pPr>
        <w:pStyle w:val="Heading2"/>
        <w:spacing w:after="120" w:before="240"/>
      </w:pPr>
      <w:r>
        <w:rPr>
          <w:rFonts w:ascii="Calibri" w:cs="Calibri" w:eastAsia="Calibri" w:hAnsi="Calibri"/>
          <w:b/>
          <w:bCs/>
          <w:color w:val="006D6D"/>
          <w:sz w:val="28"/>
          <w:szCs w:val="28"/>
        </w:rPr>
        <w:t xml:space="preserve">0C -- Revenue Model</w:t>
      </w:r>
    </w:p>
    <w:p>
      <w:pPr>
        <w:spacing w:after="200" w:line="276"/>
      </w:pPr>
      <w:r>
        <w:rPr>
          <w:rFonts w:ascii="Calibri" w:cs="Calibri" w:eastAsia="Calibri" w:hAnsi="Calibri"/>
          <w:color w:val="333333"/>
          <w:sz w:val="24"/>
          <w:szCs w:val="24"/>
        </w:rPr>
        <w:t xml:space="preserve">Revenue mix sourced from Q3 2025 Press Release. Full-year FY2025 mix not yet disclosed; Q3 2025 used as proxy. IFRS 15 treatment inferred from standard VMS accounting policy.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1560"/>
        <w:gridCol w:w="1560"/>
        <w:gridCol w:w="1560"/>
        <w:gridCol w:w="1560"/>
        <w:gridCol w:w="1560"/>
      </w:tblGrid>
      <w:tr>
        <w:tc>
          <w:tcPr>
            <w:tcW w:type="dxa" w:w="156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Stream</w:t>
            </w:r>
          </w:p>
        </w:tc>
        <w:tc>
          <w:tcPr>
            <w:tcW w:type="dxa" w:w="156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Revenue Trigger</w:t>
            </w:r>
          </w:p>
        </w:tc>
        <w:tc>
          <w:tcPr>
            <w:tcW w:type="dxa" w:w="156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Recurring?</w:t>
            </w:r>
          </w:p>
        </w:tc>
        <w:tc>
          <w:tcPr>
            <w:tcW w:type="dxa" w:w="156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Recognition</w:t>
            </w:r>
          </w:p>
        </w:tc>
        <w:tc>
          <w:tcPr>
            <w:tcW w:type="dxa" w:w="156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 of Revenue</w:t>
            </w:r>
          </w:p>
        </w:tc>
        <w:tc>
          <w:tcPr>
            <w:tcW w:type="dxa" w:w="156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Trend</w:t>
            </w:r>
          </w:p>
        </w:tc>
      </w:tr>
      <w:tr>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Maintenance &amp; Support</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Annual/quarterly support contracts on installed VMS</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Recurring</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Recognized ratably over contract period (IFRS 15)</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~75%</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Stable-to-growing; benefits from price increases on captive base</w:t>
            </w:r>
          </w:p>
        </w:tc>
      </w:tr>
      <w:tr>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Professional Services</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Implementation, customization, training, consulting</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One-time / project-based</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Recognized as services rendered (IFRS 15)</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~18%</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Grows with new acquisitions; margin-dilutive</w:t>
            </w:r>
          </w:p>
        </w:tc>
      </w:tr>
      <w:tr>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License</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Perpetual or term software license fees</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One-time (perpetual) / Recurring (term)</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Point-in-time (perpetual) or ratable (term)</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~4%</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Declining as industry moves toward subscription</w:t>
            </w:r>
          </w:p>
        </w:tc>
      </w:tr>
      <w:tr>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Hardware</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Resale of hardware bundled with software</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One-time</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Point-in-time delivery</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~3%</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Stable / low-growth; low-margin</w:t>
            </w:r>
          </w:p>
        </w:tc>
      </w:tr>
    </w:tbl>
    <w:p>
      <w:pPr>
        <w:spacing w:after="200"/>
      </w:pPr>
    </w:p>
    <w:p>
      <w:pPr>
        <w:pStyle w:val="Heading2"/>
        <w:spacing w:after="120" w:before="240"/>
      </w:pPr>
      <w:r>
        <w:rPr>
          <w:rFonts w:ascii="Calibri" w:cs="Calibri" w:eastAsia="Calibri" w:hAnsi="Calibri"/>
          <w:b/>
          <w:bCs/>
          <w:color w:val="006D6D"/>
          <w:sz w:val="28"/>
          <w:szCs w:val="28"/>
        </w:rPr>
        <w:t xml:space="preserve">0D -- Ecosystem Map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Category</w:t>
            </w:r>
          </w:p>
        </w:tc>
        <w:tc>
          <w:tcPr>
            <w:tcW w:type="dxa" w:w="468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Details</w:t>
            </w:r>
          </w:p>
        </w:tc>
      </w:tr>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Customers</w:t>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Government entities (municipal, transit, healthcare), private sector businesses in niche verticals (auto dealers, fitness clubs, veterinary practices, golf clubs, property management, etc.). No single customer concentration disclosed. Customer base spans thousands of small-to-mid-size VMS end-users across 100+ vertical markets globally.</w:t>
            </w:r>
          </w:p>
        </w:tc>
      </w:tr>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Suppliers &amp; Dependencies</w:t>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Cloud infrastructure providers (AWS, Azure, Google Cloud) for hosted/SaaS-migrating products. No disclosed single-source risk. Legacy on-premise deployments reduce infrastructure dependency.</w:t>
            </w:r>
          </w:p>
        </w:tc>
      </w:tr>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Channel Partners</w:t>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Acquisition targets sourced through proprietary relationship networks, M&amp;A advisors, and operating group presidents. No traditional reseller channel. CSU's 'acquirer of first resort' reputation is itself a sourcing channel.</w:t>
            </w:r>
          </w:p>
        </w:tc>
      </w:tr>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Technology Partners</w:t>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Not disclosed specifically. Individual VMS businesses maintain their own technology stacks; no group-wide platform dependency identified in filings.</w:t>
            </w:r>
          </w:p>
        </w:tc>
      </w:tr>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Regulators</w:t>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Ontario Securities Commission (OSC) and TSX -- primary securities regulators. Each VMS business may face sector-specific regulation (e.g., healthcare software: HIPAA/PHIPA; government software: procurement rules). No group-level regulatory risk concentration disclosed.</w:t>
            </w:r>
          </w:p>
        </w:tc>
      </w:tr>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Competitors (named in filings)</w:t>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Roper Technologies (ROP), Tyler Technologies (TYL), N-able, Enghouse Systems (ESL.TO), Topicus.com (TOI.V) -- partially. Also: private equity acquirers of VMS businesses (unnamed). Management has acknowledged PE competition for VMS assets explicitly in shareholder letters.</w:t>
            </w:r>
          </w:p>
        </w:tc>
      </w:tr>
    </w:tbl>
    <w:p>
      <w:pPr>
        <w:spacing w:after="200"/>
      </w:pPr>
    </w:p>
    <w:p>
      <w:pPr>
        <w:pStyle w:val="Heading2"/>
        <w:spacing w:after="120" w:before="240"/>
      </w:pPr>
      <w:r>
        <w:rPr>
          <w:rFonts w:ascii="Calibri" w:cs="Calibri" w:eastAsia="Calibri" w:hAnsi="Calibri"/>
          <w:b/>
          <w:bCs/>
          <w:color w:val="006D6D"/>
          <w:sz w:val="28"/>
          <w:szCs w:val="28"/>
        </w:rPr>
        <w:t xml:space="preserve">0E -- Key Performance Indicators: Inventory</w:t>
      </w:r>
    </w:p>
    <w:p>
      <w:pPr>
        <w:pStyle w:val="Heading3"/>
        <w:spacing w:after="120" w:before="240"/>
      </w:pPr>
      <w:r>
        <w:rPr>
          <w:rFonts w:ascii="Calibri" w:cs="Calibri" w:eastAsia="Calibri" w:hAnsi="Calibri"/>
          <w:b/>
          <w:bCs/>
          <w:color w:val="006D6D"/>
          <w:sz w:val="24"/>
          <w:szCs w:val="24"/>
        </w:rPr>
        <w:t xml:space="preserve">Financial KPIs (Disclosed)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KPI Name</w:t>
            </w:r>
          </w:p>
        </w:tc>
        <w:tc>
          <w:tcPr>
            <w:tcW w:type="dxa" w:w="234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Definition</w:t>
            </w:r>
          </w:p>
        </w:tc>
        <w:tc>
          <w:tcPr>
            <w:tcW w:type="dxa" w:w="234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Most Recent Value</w:t>
            </w:r>
          </w:p>
        </w:tc>
        <w:tc>
          <w:tcPr>
            <w:tcW w:type="dxa" w:w="234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Why It Matters</w:t>
            </w:r>
          </w:p>
        </w:tc>
      </w:tr>
      <w:tr>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Revenue</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Total revenue across all operating groups (USD)</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$11,623M (FY2025)</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Top-line scale and growth trajectory</w:t>
            </w:r>
          </w:p>
        </w:tc>
      </w:tr>
      <w:tr>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Organic Revenue Growth</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Revenue growth excluding FX and acquisitions (management-disclosed)</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~5% (FY2025); 7% (FY2021); -1% (FY2022); 5% (FY2023)</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Measures quality of existing-business performance independent of M&amp;A</w:t>
            </w:r>
          </w:p>
        </w:tc>
      </w:tr>
      <w:tr>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FCFA2S</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Free Cash Flow Available to Shareholders: CFO minus interest, lease payments, IRGA/TSS charge, capex, plus interest/dividends received, minus NCI portion</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$1,683M (FY2025)</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CSI's primary FCF metric; closest to distributable cash for CSI shareholders</w:t>
            </w:r>
          </w:p>
        </w:tc>
      </w:tr>
      <w:tr>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CFO</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Cash from operations per IFRS cash flow statement</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$2,732M (FY2025)</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Gross operating cash generation before acquisition spending</w:t>
            </w:r>
          </w:p>
        </w:tc>
      </w:tr>
      <w:tr>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Net Income (CSI shareholders)</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GAAP net income attributable to CSU shareholders</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$512M (FY2025, depressed by $260M Asseco charge)</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Statutory earnings; note one-off charges distort year-to-year comparison</w:t>
            </w:r>
          </w:p>
        </w:tc>
      </w:tr>
      <w:tr>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Diluted EPS</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Net income attributable to CSI / diluted share count</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$24.15 (FY2025)</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Per-share earnings; diluted share count ~21.2M</w:t>
            </w:r>
          </w:p>
        </w:tc>
      </w:tr>
      <w:tr>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Acquisition Spend</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Cash deployed in acquisitions (gross cash outflow)</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$1,579M (FY2025)</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Capital deployment; key indicator of M&amp;A pace and deal availability</w:t>
            </w:r>
          </w:p>
        </w:tc>
      </w:tr>
      <w:tr>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Capex</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Capital expenditures (property, plant, equipment)</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~$88M estimated FY2025</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Very low relative to revenue (&lt;1%); confirms asset-light model</w:t>
            </w:r>
          </w:p>
        </w:tc>
      </w:tr>
      <w:tr>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Cash &amp; Equivalents</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Balance sheet cash</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$3,089M (FY2025 year-end)</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Dry powder for acquisitions; buffer vs. debt covenants</w:t>
            </w:r>
          </w:p>
        </w:tc>
      </w:tr>
      <w:tr>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Total Assets</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Total IFRS assets</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$16,171M (FY2025)</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Scale of balance sheet; dominated by intangibles</w:t>
            </w:r>
          </w:p>
        </w:tc>
      </w:tr>
      <w:tr>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Intangibles (net)</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Acquired intangible assets net of amortization</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~$8,500-9,000M estimated FY2025</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Reflects cumulative M&amp;A; large amortization charge depresses GAAP earnings</w:t>
            </w:r>
          </w:p>
        </w:tc>
      </w:tr>
    </w:tbl>
    <w:p>
      <w:pPr>
        <w:spacing w:after="200"/>
      </w:pPr>
    </w:p>
    <w:p>
      <w:pPr>
        <w:pStyle w:val="Heading3"/>
        <w:spacing w:after="120" w:before="240"/>
      </w:pPr>
      <w:r>
        <w:rPr>
          <w:rFonts w:ascii="Calibri" w:cs="Calibri" w:eastAsia="Calibri" w:hAnsi="Calibri"/>
          <w:b/>
          <w:bCs/>
          <w:color w:val="006D6D"/>
          <w:sz w:val="24"/>
          <w:szCs w:val="24"/>
        </w:rPr>
        <w:t xml:space="preserve">Operational KPIs (Disclosed)</w:t>
      </w:r>
    </w:p>
    <w:p>
      <w:pPr>
        <w:spacing w:after="200" w:line="276"/>
      </w:pPr>
      <w:r>
        <w:rPr>
          <w:rFonts w:ascii="Calibri" w:cs="Calibri" w:eastAsia="Calibri" w:hAnsi="Calibri"/>
          <w:color w:val="333333"/>
          <w:sz w:val="24"/>
          <w:szCs w:val="24"/>
        </w:rPr>
        <w:t xml:space="preserve">CSU does not disclose operational KPIs such as customer count, churn rate, average contract value, or number of active VMS businesses in its press releases. The 2018 Presidents Letter referenced 243 business units as at late 2017; no subsequent update has been made public. This is a material analytical gap -- see Section 8.</w:t>
      </w:r>
    </w:p>
    <w:p>
      <w:pPr>
        <w:pStyle w:val="Heading3"/>
        <w:spacing w:after="120" w:before="240"/>
      </w:pPr>
      <w:r>
        <w:rPr>
          <w:rFonts w:ascii="Calibri" w:cs="Calibri" w:eastAsia="Calibri" w:hAnsi="Calibri"/>
          <w:b/>
          <w:bCs/>
          <w:color w:val="006D6D"/>
          <w:sz w:val="24"/>
          <w:szCs w:val="24"/>
        </w:rPr>
        <w:t xml:space="preserve">KPIs Not Disclosed but Analytically Important</w:t>
      </w:r>
    </w:p>
    <w:p>
      <w:pPr>
        <w:spacing w:after="200" w:line="276"/>
      </w:pPr>
      <w:r>
        <w:rPr>
          <w:rFonts w:ascii="Calibri" w:cs="Calibri" w:eastAsia="Calibri" w:hAnsi="Calibri"/>
          <w:color w:val="333333"/>
          <w:sz w:val="24"/>
          <w:szCs w:val="24"/>
        </w:rPr>
        <w:t xml:space="preserve">Investor Implication: The KPI disclosure regime at CSU is deliberately sparse -- Mark Leonard has consistently prioritized operating group autonomy over centralized reporting. Investors must treat FCFA2S and acquisition spend as the two primary dashboard metrics.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KPI Name</w:t>
            </w:r>
          </w:p>
        </w:tc>
        <w:tc>
          <w:tcPr>
            <w:tcW w:type="dxa" w:w="234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Definition / Importance</w:t>
            </w:r>
          </w:p>
        </w:tc>
        <w:tc>
          <w:tcPr>
            <w:tcW w:type="dxa" w:w="234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Disclosure Status</w:t>
            </w:r>
          </w:p>
        </w:tc>
        <w:tc>
          <w:tcPr>
            <w:tcW w:type="dxa" w:w="234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Analytical Impact</w:t>
            </w:r>
          </w:p>
        </w:tc>
      </w:tr>
      <w:tr>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ROIC by Operating Group</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Return on invested capital per Volaris, Jonas, Harris, etc.</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Last disclosed 2008-2017 (group total, 28-38%). Discontinued post-2018.</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Critical for assessing whether M&amp;A hurdle rates are being met</w:t>
            </w:r>
          </w:p>
        </w:tc>
      </w:tr>
      <w:tr>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Gross Acquisition Multiple (EV/EBITDA paid)</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Entry valuation on acquisitions</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Not disclosed</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Would allow assessment of capital deployment quality</w:t>
            </w:r>
          </w:p>
        </w:tc>
      </w:tr>
      <w:tr>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Customer Count / Churn Rate</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Number of VMS end-customers; annual churn %</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Not disclosed post-2017</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Core unit economics cannot be derived without this</w:t>
            </w:r>
          </w:p>
        </w:tc>
      </w:tr>
      <w:tr>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Number of VMS Business Units</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Total acquired and operating BUs</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243 as at late 2017 (2018 letter); not updated</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Measures acquisition velocity and portfolio breadth</w:t>
            </w:r>
          </w:p>
        </w:tc>
      </w:tr>
      <w:tr>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ARR / NRR</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Annual Recurring Revenue; Net Revenue Retention</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Not disclosed</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Standard SaaS metrics that would characterize recurring revenue quality</w:t>
            </w:r>
          </w:p>
        </w:tc>
      </w:tr>
      <w:tr>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Organic Growth by Operating Group</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Segment-level organic growth</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Not disclosed at segment level</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Would identify outperformers / laggards within the portfolio</w:t>
            </w:r>
          </w:p>
        </w:tc>
      </w:tr>
    </w:tbl>
    <w:p>
      <w:pPr>
        <w:spacing w:after="200"/>
      </w:pPr>
    </w:p>
    <w:p>
      <w:pPr>
        <w:pStyle w:val="Heading1"/>
        <w:spacing w:after="120" w:before="240"/>
      </w:pPr>
      <w:r>
        <w:rPr>
          <w:rFonts w:ascii="Calibri" w:cs="Calibri" w:eastAsia="Calibri" w:hAnsi="Calibri"/>
          <w:b/>
          <w:bCs/>
          <w:color w:val="333333"/>
          <w:sz w:val="32"/>
          <w:szCs w:val="32"/>
        </w:rPr>
        <w:t xml:space="preserve">Section 1 -- Business Model: The Causal Architecture</w:t>
      </w:r>
    </w:p>
    <w:p>
      <w:pPr>
        <w:pStyle w:val="Heading2"/>
        <w:spacing w:after="120" w:before="240"/>
      </w:pPr>
      <w:r>
        <w:rPr>
          <w:rFonts w:ascii="Calibri" w:cs="Calibri" w:eastAsia="Calibri" w:hAnsi="Calibri"/>
          <w:b/>
          <w:bCs/>
          <w:color w:val="006D6D"/>
          <w:sz w:val="28"/>
          <w:szCs w:val="28"/>
        </w:rPr>
        <w:t xml:space="preserve">1A -- Strategic Pivots</w:t>
      </w:r>
    </w:p>
    <w:p>
      <w:pPr>
        <w:pStyle w:val="Heading3"/>
        <w:spacing w:after="120" w:before="240"/>
      </w:pPr>
      <w:r>
        <w:rPr>
          <w:rFonts w:ascii="Calibri" w:cs="Calibri" w:eastAsia="Calibri" w:hAnsi="Calibri"/>
          <w:b/>
          <w:bCs/>
          <w:color w:val="006D6D"/>
          <w:sz w:val="24"/>
          <w:szCs w:val="24"/>
        </w:rPr>
        <w:t xml:space="preserve">Pivot 1: From Organic Growth to Acquisition-Driven Compounding (Pre-IPO to 2010)</w:t>
      </w:r>
    </w:p>
    <w:p>
      <w:pPr>
        <w:spacing w:after="200" w:line="276"/>
      </w:pPr>
      <w:r>
        <w:rPr>
          <w:rFonts w:ascii="Calibri" w:cs="Calibri" w:eastAsia="Calibri" w:hAnsi="Calibri"/>
          <w:color w:val="333333"/>
          <w:sz w:val="24"/>
          <w:szCs w:val="24"/>
        </w:rPr>
        <w:t xml:space="preserve">Trigger: Mark Leonard recognized that VMS markets are fragmented (thousands of niche operators), capital-poor, and under-consolidated. Organic growth in any single vertical is structurally capped by market size -- but the universe of acquirable VMS businesses is very large. (Source: 2018 Presidents Letter, Table 2 -- revenue/share CAGR 26% from 2008-2017, driven overwhelmingly by M&amp;A, with organic growth averaging ~2%.)</w:t>
      </w:r>
    </w:p>
    <w:p>
      <w:pPr>
        <w:spacing w:after="200" w:line="276"/>
      </w:pPr>
      <w:r>
        <w:rPr>
          <w:rFonts w:ascii="Calibri" w:cs="Calibri" w:eastAsia="Calibri" w:hAnsi="Calibri"/>
          <w:color w:val="333333"/>
          <w:sz w:val="24"/>
          <w:szCs w:val="24"/>
        </w:rPr>
        <w:t xml:space="preserve">Financial model change: Shifted capital allocation from internal R&amp;D to bolt-on M&amp;A. Capex remained negligible; acquisition spend became the primary use of CFO. This is visible in the FY2021-FY2025 data: aggregate acquisition spend of $7.4B vs. aggregate capex of ~$267M over the same five years. The P&amp;L effect: large annual amortization of acquired intangibles depresses GAAP net income; FCFA2S (which excludes amortization effects by using CFO) becomes the economically meaningful earnings metric.</w:t>
      </w:r>
    </w:p>
    <w:p>
      <w:pPr>
        <w:spacing w:after="200" w:line="276"/>
      </w:pPr>
      <w:r>
        <w:rPr>
          <w:rFonts w:ascii="Calibri" w:cs="Calibri" w:eastAsia="Calibri" w:hAnsi="Calibri"/>
          <w:color w:val="333333"/>
          <w:sz w:val="24"/>
          <w:szCs w:val="24"/>
        </w:rPr>
        <w:t xml:space="preserve">Counterfactual: Without acquisition-led growth, organic revenue growth of 2-7% would imply FY2025 revenue of roughly $5.5-$7B from the FY2021 base of $5.1B -- versus actual $11.6B. Acquisition activity approximately doubled the revenue base over four years.</w:t>
      </w:r>
    </w:p>
    <w:p>
      <w:pPr>
        <w:pStyle w:val="Heading3"/>
        <w:spacing w:after="120" w:before="240"/>
      </w:pPr>
      <w:r>
        <w:rPr>
          <w:rFonts w:ascii="Calibri" w:cs="Calibri" w:eastAsia="Calibri" w:hAnsi="Calibri"/>
          <w:b/>
          <w:bCs/>
          <w:color w:val="006D6D"/>
          <w:sz w:val="24"/>
          <w:szCs w:val="24"/>
        </w:rPr>
        <w:t xml:space="preserve">Pivot 2: End of Special Dividends and Pursuit of Large VMS Acquisitions (February 2021)</w:t>
      </w:r>
    </w:p>
    <w:p>
      <w:pPr>
        <w:spacing w:after="200" w:line="276"/>
      </w:pPr>
      <w:r>
        <w:rPr>
          <w:rFonts w:ascii="Calibri" w:cs="Calibri" w:eastAsia="Calibri" w:hAnsi="Calibri"/>
          <w:color w:val="333333"/>
          <w:sz w:val="24"/>
          <w:szCs w:val="24"/>
        </w:rPr>
        <w:t xml:space="preserve">Trigger: CSU historically returned excess capital via special dividends when acquisition opportunities were insufficient. In February 2021, the board voted to end special dividends. Mark Leonard explained: the company would pursue 'large VMS' acquisitions requiring 'multi-hundred-million-dollar equity cheques' at potentially lower hurdle rates than historical small-bolt-on deals. (Source: Mark Leonard, February 15, 2021 Shareholder Letter -- 'the board has decided to suspend paying special dividends')</w:t>
      </w:r>
    </w:p>
    <w:p>
      <w:pPr>
        <w:spacing w:after="200" w:line="276"/>
      </w:pPr>
      <w:r>
        <w:rPr>
          <w:rFonts w:ascii="Calibri" w:cs="Calibri" w:eastAsia="Calibri" w:hAnsi="Calibri"/>
          <w:color w:val="333333"/>
          <w:sz w:val="24"/>
          <w:szCs w:val="24"/>
        </w:rPr>
        <w:t xml:space="preserve">Financial model change: Capital recycling intensified. From FY2021 to FY2025, CSU deployed $7.4B gross in acquisitions -- including $1.6B in both FY2022 and FY2023, the two highest annual deployment years on record. The FCFA2S yield to shareholders declined as cash that would have been distributed was reinvested. (Source: Acquisition spend figures from FY2021-FY2025 press releases)</w:t>
      </w:r>
    </w:p>
    <w:p>
      <w:pPr>
        <w:spacing w:after="200" w:line="276"/>
      </w:pPr>
      <w:r>
        <w:rPr>
          <w:rFonts w:ascii="Calibri" w:cs="Calibri" w:eastAsia="Calibri" w:hAnsi="Calibri"/>
          <w:color w:val="333333"/>
          <w:sz w:val="24"/>
          <w:szCs w:val="24"/>
        </w:rPr>
        <w:t xml:space="preserve">Counterfactual: Had the special dividend policy continued and M&amp;A been limited to historical small-bolt-on scale (~$500-600M/year), CSU would have returned an estimated $4-5B to shareholders in FY2021-FY2025 via dividends. Instead, that capital is embedded in the acquired intangible base ($8B+) generating recurring maintenance revenue. The NPV tradeoff depends on acquisition ROIC -- which Leonard himself acknowledged may be lower than historical small-bolt-on returns (2021 letter).</w:t>
      </w:r>
    </w:p>
    <w:p>
      <w:pPr>
        <w:pStyle w:val="Heading3"/>
        <w:spacing w:after="120" w:before="240"/>
      </w:pPr>
      <w:r>
        <w:rPr>
          <w:rFonts w:ascii="Calibri" w:cs="Calibri" w:eastAsia="Calibri" w:hAnsi="Calibri"/>
          <w:b/>
          <w:bCs/>
          <w:color w:val="006D6D"/>
          <w:sz w:val="24"/>
          <w:szCs w:val="24"/>
        </w:rPr>
        <w:t xml:space="preserve">Pivot 3: Topicus Spinout and the Autonomous Subsidiary Model (January 2021)</w:t>
      </w:r>
    </w:p>
    <w:p>
      <w:pPr>
        <w:spacing w:after="200" w:line="276"/>
      </w:pPr>
      <w:r>
        <w:rPr>
          <w:rFonts w:ascii="Calibri" w:cs="Calibri" w:eastAsia="Calibri" w:hAnsi="Calibri"/>
          <w:color w:val="333333"/>
          <w:sz w:val="24"/>
          <w:szCs w:val="24"/>
        </w:rPr>
        <w:t xml:space="preserve">Trigger: Topicus B.V. (Dutch VMS acquirer, formerly Total Specific Solutions / TSS) merged with Topicus.com Inc. and listed on the TSX Venture Exchange in January 2021. CSU retains majority control. This created a public 'mini-CSU' with its own acquisition currency, management incentives, and European deal sourcing network. The IRGA/TSS membership liability revaluation charge is a direct financial consequence of this structure -- an annual non-cash charge that flows through FCFA2S. (Source: FY2021 Press Release; Q3 2025 income statement)</w:t>
      </w:r>
    </w:p>
    <w:p>
      <w:pPr>
        <w:spacing w:after="200" w:line="276"/>
      </w:pPr>
      <w:r>
        <w:rPr>
          <w:rFonts w:ascii="Calibri" w:cs="Calibri" w:eastAsia="Calibri" w:hAnsi="Calibri"/>
          <w:color w:val="333333"/>
          <w:sz w:val="24"/>
          <w:szCs w:val="24"/>
        </w:rPr>
        <w:t xml:space="preserve">Financial model change: European VMS M&amp;A velocity increased under Topicus's autonomous structure. Lumine Group, a subsequent spinout within Topicus, added communications and media VMS. These entities operate with their own listed equity -- allowing them to do equity-funded acquisitions independently of CSU's own balance sheet.</w:t>
      </w:r>
    </w:p>
    <w:p>
      <w:pPr>
        <w:pStyle w:val="Heading3"/>
        <w:spacing w:after="120" w:before="240"/>
      </w:pPr>
      <w:r>
        <w:rPr>
          <w:rFonts w:ascii="Calibri" w:cs="Calibri" w:eastAsia="Calibri" w:hAnsi="Calibri"/>
          <w:b/>
          <w:bCs/>
          <w:color w:val="006D6D"/>
          <w:sz w:val="24"/>
          <w:szCs w:val="24"/>
        </w:rPr>
        <w:t xml:space="preserve">Pivot 4: Circle-of-Competence Expansion Beyond VMS (2021 onward)</w:t>
      </w:r>
    </w:p>
    <w:p>
      <w:pPr>
        <w:spacing w:after="200" w:line="276"/>
      </w:pPr>
      <w:r>
        <w:rPr>
          <w:rFonts w:ascii="Calibri" w:cs="Calibri" w:eastAsia="Calibri" w:hAnsi="Calibri"/>
          <w:color w:val="333333"/>
          <w:sz w:val="24"/>
          <w:szCs w:val="24"/>
        </w:rPr>
        <w:t xml:space="preserve">Trigger: Mark Leonard explicitly stated in his 2021 letter that CSU would attempt to develop 'a circle of competence in a new area' outside VMS -- pursuing larger, non-VMS software or tech-adjacent acquisitions at lower hurdle rates. (Source: February 2021 Shareholder Letter -- 'We are also trying to develop a new circle of competence')</w:t>
      </w:r>
    </w:p>
    <w:p>
      <w:pPr>
        <w:spacing w:after="200" w:line="276"/>
      </w:pPr>
      <w:r>
        <w:rPr>
          <w:rFonts w:ascii="Calibri" w:cs="Calibri" w:eastAsia="Calibri" w:hAnsi="Calibri"/>
          <w:color w:val="333333"/>
          <w:sz w:val="24"/>
          <w:szCs w:val="24"/>
        </w:rPr>
        <w:t xml:space="preserve">Financial model change: The Asseco Poland investment (an equity-method holding) represents the most visible manifestation of non-VMS capital deployment. The $260M non-cash revaluation charge in Q3 2025 reflects the risk of this strategic expansion -- Asseco is a Polish IT services and software conglomerate, not a niche VMS business. (Source: Q3 2025 Press Release, income statement)</w:t>
      </w:r>
    </w:p>
    <w:p>
      <w:pPr>
        <w:spacing w:after="200" w:line="276"/>
      </w:pPr>
      <w:r>
        <w:rPr>
          <w:rFonts w:ascii="Calibri" w:cs="Calibri" w:eastAsia="Calibri" w:hAnsi="Calibri"/>
          <w:color w:val="333333"/>
          <w:sz w:val="24"/>
          <w:szCs w:val="24"/>
        </w:rPr>
        <w:t xml:space="preserve">Counterfactual: Had CSU remained purely VMS-focused, the Asseco impairment would not exist. The FY2025 GAAP net income would have been approximately $637M+ rather than $512M, and EPS would have been ~$30+ vs. $24.15 reported.</w:t>
      </w:r>
    </w:p>
    <w:p>
      <w:pPr>
        <w:pStyle w:val="Heading2"/>
        <w:spacing w:after="120" w:before="240"/>
      </w:pPr>
      <w:r>
        <w:rPr>
          <w:rFonts w:ascii="Calibri" w:cs="Calibri" w:eastAsia="Calibri" w:hAnsi="Calibri"/>
          <w:b/>
          <w:bCs/>
          <w:color w:val="006D6D"/>
          <w:sz w:val="28"/>
          <w:szCs w:val="28"/>
        </w:rPr>
        <w:t xml:space="preserve">1B -- Segment Mini-P&amp;Ls</w:t>
      </w:r>
    </w:p>
    <w:p>
      <w:pPr>
        <w:spacing w:after="200" w:line="276"/>
      </w:pPr>
      <w:r>
        <w:rPr>
          <w:rFonts w:ascii="Calibri" w:cs="Calibri" w:eastAsia="Calibri" w:hAnsi="Calibri"/>
          <w:color w:val="333333"/>
          <w:sz w:val="24"/>
          <w:szCs w:val="24"/>
        </w:rPr>
        <w:t xml:space="preserve">CSU does not disclose operating group P&amp;Ls publicly. The following is a group-level summary only. Segment-level EBITDA, capital intensity, and unit economics are not derivable from available press releases. This is a structural disclosure limitation -- see Section 8.</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c>
          <w:tcPr>
            <w:tcW w:type="dxa" w:w="1872"/>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Operating Group</w:t>
            </w:r>
          </w:p>
        </w:tc>
        <w:tc>
          <w:tcPr>
            <w:tcW w:type="dxa" w:w="1872"/>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Focus Vertical</w:t>
            </w:r>
          </w:p>
        </w:tc>
        <w:tc>
          <w:tcPr>
            <w:tcW w:type="dxa" w:w="1872"/>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Revenue</w:t>
            </w:r>
          </w:p>
        </w:tc>
        <w:tc>
          <w:tcPr>
            <w:tcW w:type="dxa" w:w="1872"/>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EBITDA Margin</w:t>
            </w:r>
          </w:p>
        </w:tc>
        <w:tc>
          <w:tcPr>
            <w:tcW w:type="dxa" w:w="1872"/>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Capital Intensity</w:t>
            </w:r>
          </w:p>
        </w:tc>
      </w:tr>
      <w:tr>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Volaris</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VMS -- government, aviation, utilities</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Not disclosed</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Not disclosed</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Not disclosed</w:t>
            </w:r>
          </w:p>
        </w:tc>
      </w:tr>
      <w:tr>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Jonas</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VMS -- hospitality, fitness, golf, construction</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Not disclosed</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Not disclosed</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Not disclosed</w:t>
            </w:r>
          </w:p>
        </w:tc>
      </w:tr>
      <w:tr>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Harris</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VMS -- public sector, utilities, healthcare</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Not disclosed</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Not disclosed</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Not disclosed</w:t>
            </w:r>
          </w:p>
        </w:tc>
      </w:tr>
      <w:tr>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Perseus</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VMS -- diversified SMB verticals</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Not disclosed</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Not disclosed</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Not disclosed</w:t>
            </w:r>
          </w:p>
        </w:tc>
      </w:tr>
      <w:tr>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Vela</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VMS -- media, energy, field services</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Not disclosed</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Not disclosed</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Not disclosed</w:t>
            </w:r>
          </w:p>
        </w:tc>
      </w:tr>
      <w:tr>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Topicus</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VMS -- European (Dutch base), communications, media</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Not disclosed</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Not disclosed</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Not disclosed</w:t>
            </w:r>
          </w:p>
        </w:tc>
      </w:tr>
    </w:tbl>
    <w:p>
      <w:pPr>
        <w:spacing w:after="200"/>
      </w:pPr>
    </w:p>
    <w:p>
      <w:pPr>
        <w:pStyle w:val="Heading2"/>
        <w:spacing w:after="120" w:before="240"/>
      </w:pPr>
      <w:r>
        <w:rPr>
          <w:rFonts w:ascii="Calibri" w:cs="Calibri" w:eastAsia="Calibri" w:hAnsi="Calibri"/>
          <w:b/>
          <w:bCs/>
          <w:color w:val="006D6D"/>
          <w:sz w:val="28"/>
          <w:szCs w:val="28"/>
        </w:rPr>
        <w:t xml:space="preserve">1C -- Structural Recurring Revenue Estimate</w:t>
      </w:r>
    </w:p>
    <w:p>
      <w:pPr>
        <w:spacing w:after="200" w:line="276"/>
      </w:pPr>
      <w:r>
        <w:rPr>
          <w:rFonts w:ascii="Calibri" w:cs="Calibri" w:eastAsia="Calibri" w:hAnsi="Calibri"/>
          <w:color w:val="333333"/>
          <w:sz w:val="24"/>
          <w:szCs w:val="24"/>
        </w:rPr>
        <w:t xml:space="preserve">Maintenance and support revenue (Q3 2025: 75.1% of revenue, or $2,213M/$2,948M) is the closest proxy for structurally recurring revenue -- contracts that renew with zero incremental S&amp;M spend due to extremely high switching costs. At 75% of LTM revenue of ~$11.6B, this implies ~$8.7B of structurally recurring revenue. Professional services (~18%) require ongoing delivery effort and are not structurally recurring. License (~4%) and hardware (~3%) are largely non-recurring. (Source: Q3 2025 Press Release -- revenue mix by category)</w:t>
      </w:r>
    </w:p>
    <w:p>
      <w:pPr>
        <w:spacing w:after="200" w:line="276"/>
      </w:pPr>
      <w:r>
        <w:rPr>
          <w:rFonts w:ascii="Calibri" w:cs="Calibri" w:eastAsia="Calibri" w:hAnsi="Calibri"/>
          <w:color w:val="333333"/>
          <w:sz w:val="24"/>
          <w:szCs w:val="24"/>
        </w:rPr>
        <w:t xml:space="preserve">Range: 72-76% structurally recurring, depending on the extent to which professional services contracts are multi-year in nature. Best estimate: 74-75%. Assumption: Churn rate on maintenance contracts assumed &lt;3% per year based on management commentary on mission-critical nature of VMS software (no specific churn figure disclosed).</w:t>
      </w:r>
    </w:p>
    <w:p>
      <w:pPr>
        <w:spacing w:after="200" w:line="276"/>
      </w:pPr>
      <w:r>
        <w:rPr>
          <w:rFonts w:ascii="Calibri" w:cs="Calibri" w:eastAsia="Calibri" w:hAnsi="Calibri"/>
          <w:color w:val="333333"/>
          <w:sz w:val="24"/>
          <w:szCs w:val="24"/>
        </w:rPr>
        <w:t xml:space="preserve">Investor Implication: CSU's business is ~75% structurally recurring -- this is the foundation for the high FCF conversion and near-zero sensitivity to economic cycles in the existing installed base.</w:t>
      </w:r>
    </w:p>
    <w:p>
      <w:pPr>
        <w:pStyle w:val="Heading1"/>
        <w:spacing w:after="120" w:before="240"/>
      </w:pPr>
      <w:r>
        <w:rPr>
          <w:rFonts w:ascii="Calibri" w:cs="Calibri" w:eastAsia="Calibri" w:hAnsi="Calibri"/>
          <w:b/>
          <w:bCs/>
          <w:color w:val="333333"/>
          <w:sz w:val="32"/>
          <w:szCs w:val="32"/>
        </w:rPr>
        <w:t xml:space="preserve">Section 2 -- Management Quality: Actions Over Words</w:t>
      </w:r>
    </w:p>
    <w:p>
      <w:pPr>
        <w:pStyle w:val="Heading2"/>
        <w:spacing w:after="120" w:before="240"/>
      </w:pPr>
      <w:r>
        <w:rPr>
          <w:rFonts w:ascii="Calibri" w:cs="Calibri" w:eastAsia="Calibri" w:hAnsi="Calibri"/>
          <w:b/>
          <w:bCs/>
          <w:color w:val="006D6D"/>
          <w:sz w:val="28"/>
          <w:szCs w:val="28"/>
        </w:rPr>
        <w:t xml:space="preserve">2A -- Credibility Scorecard</w:t>
      </w:r>
    </w:p>
    <w:p>
      <w:pPr>
        <w:spacing w:after="200" w:line="276"/>
      </w:pPr>
      <w:r>
        <w:rPr>
          <w:rFonts w:ascii="Calibri" w:cs="Calibri" w:eastAsia="Calibri" w:hAnsi="Calibri"/>
          <w:color w:val="333333"/>
          <w:sz w:val="24"/>
          <w:szCs w:val="24"/>
        </w:rPr>
        <w:t xml:space="preserve">Quantitative forward-looking claims from FY2021-FY2022 letters and filings (3-year lookback):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c>
          <w:tcPr>
            <w:tcW w:type="dxa" w:w="1872"/>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Claim</w:t>
            </w:r>
          </w:p>
        </w:tc>
        <w:tc>
          <w:tcPr>
            <w:tcW w:type="dxa" w:w="1872"/>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Source</w:t>
            </w:r>
          </w:p>
        </w:tc>
        <w:tc>
          <w:tcPr>
            <w:tcW w:type="dxa" w:w="1872"/>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Promise</w:t>
            </w:r>
          </w:p>
        </w:tc>
        <w:tc>
          <w:tcPr>
            <w:tcW w:type="dxa" w:w="1872"/>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Outcome</w:t>
            </w:r>
          </w:p>
        </w:tc>
        <w:tc>
          <w:tcPr>
            <w:tcW w:type="dxa" w:w="1872"/>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Score</w:t>
            </w:r>
          </w:p>
        </w:tc>
      </w:tr>
      <w:tr>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'Organic growth averaged ~2% over the decade 2008-2017' -- implicit forward guidance of modest organic growth</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2018 Presidents Letter</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 organic per year</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FY2021: 7% organic; FY2022: -1% organic; FY2023: 5% organic; FY2024: not separately disclosed; FY2025: 5% organic</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Met (within range -- organics averaged ~4% FY2021-FY2025, above historical but not dramatically so)</w:t>
            </w:r>
          </w:p>
        </w:tc>
      </w:tr>
      <w:tr>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'ROIC will decrease if we pursue large VMS at lower hurdle rates'</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2021 Shareholder Letter</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ROIC declining trend expected</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ROIC was 28-38% FY2008-FY2017 (last disclosed). No post-2018 disclosure. Implied ROIC from M&amp;A pace and FCFA2S growth is positive but unverifiable.</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Partially met -- disclosure discontinued, cannot fully score</w:t>
            </w:r>
          </w:p>
        </w:tc>
      </w:tr>
      <w:tr>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'Special dividends suspended; capital redeployed into acquisitions'</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2021 Shareholder Letter</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No special dividends; acquisition spend to increase</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No special dividends FY2021-FY2025 (confirmed). Acquisition spend: $1.2B (FY2021), $1.6B (FY2022), $1.6B (FY2023), $1.3B (FY2024), $1.6B (FY2025)</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Beat -- capital deployed as promised, at or above prior M&amp;A pace</w:t>
            </w:r>
          </w:p>
        </w:tc>
      </w:tr>
    </w:tbl>
    <w:p>
      <w:pPr>
        <w:spacing w:after="200"/>
      </w:pPr>
    </w:p>
    <w:p>
      <w:pPr>
        <w:pStyle w:val="Heading2"/>
        <w:spacing w:after="120" w:before="240"/>
      </w:pPr>
      <w:r>
        <w:rPr>
          <w:rFonts w:ascii="Calibri" w:cs="Calibri" w:eastAsia="Calibri" w:hAnsi="Calibri"/>
          <w:b/>
          <w:bCs/>
          <w:color w:val="006D6D"/>
          <w:sz w:val="28"/>
          <w:szCs w:val="28"/>
        </w:rPr>
        <w:t xml:space="preserve">2B -- Capital Allocation ROIC</w:t>
      </w:r>
    </w:p>
    <w:p>
      <w:pPr>
        <w:spacing w:after="200" w:line="276"/>
      </w:pPr>
      <w:r>
        <w:rPr>
          <w:rFonts w:ascii="Calibri" w:cs="Calibri" w:eastAsia="Calibri" w:hAnsi="Calibri"/>
          <w:color w:val="333333"/>
          <w:sz w:val="24"/>
          <w:szCs w:val="24"/>
        </w:rPr>
        <w:t xml:space="preserve">Aggregate acquisition spend FY2021-FY2025: ~$7.4B gross cash (sum of $1,224M + $1,633M + $1,609M + $1,347M + $1,579M). (Sources: annual press releases FY2021-FY2025)</w:t>
      </w:r>
    </w:p>
    <w:p>
      <w:pPr>
        <w:spacing w:after="200" w:line="276"/>
      </w:pPr>
      <w:r>
        <w:rPr>
          <w:rFonts w:ascii="Calibri" w:cs="Calibri" w:eastAsia="Calibri" w:hAnsi="Calibri"/>
          <w:color w:val="333333"/>
          <w:sz w:val="24"/>
          <w:szCs w:val="24"/>
        </w:rPr>
        <w:t xml:space="preserve">To assess returns: FCFA2S grew from $883M (FY2021) to $1,683M (FY2025) -- an increase of $800M over four years. If we attribute half this FCFA2S growth to acquired businesses (the other half to organic growth on the existing base), implied incremental FCFA2S from M&amp;A is ~$400M annually by FY2025. On $7.4B deployed, this implies a blended FCFA2S yield of ~5.4% on cost -- or roughly a 12-15% IRR assuming 3-4% annual FCFA2S growth from the acquired base. This is directionally consistent with management's disclosed hurdle rates (historically 15%+ IRR for small VMS; lower for large VMS per 2021 letter).</w:t>
      </w:r>
    </w:p>
    <w:p>
      <w:pPr>
        <w:spacing w:after="200" w:line="276"/>
      </w:pPr>
      <w:r>
        <w:rPr>
          <w:rFonts w:ascii="Calibri" w:cs="Calibri" w:eastAsia="Calibri" w:hAnsi="Calibri"/>
          <w:color w:val="333333"/>
          <w:sz w:val="24"/>
          <w:szCs w:val="24"/>
        </w:rPr>
        <w:t xml:space="preserve">Assumption: 50% attribution of FCFA2S growth to acquisitions vs. organic. Sensitivity: at 30% attribution, implied yield is 3.2%; at 70%, yield is 7.5%. The base case is consistent with disciplined but not spectacular acquisition returns.</w:t>
      </w:r>
    </w:p>
    <w:p>
      <w:pPr>
        <w:spacing w:after="200" w:line="276"/>
      </w:pPr>
      <w:r>
        <w:rPr>
          <w:rFonts w:ascii="Calibri" w:cs="Calibri" w:eastAsia="Calibri" w:hAnsi="Calibri"/>
          <w:color w:val="333333"/>
          <w:sz w:val="24"/>
          <w:szCs w:val="24"/>
        </w:rPr>
        <w:t xml:space="preserve">[!] [USER INPUT REQUIRED: operating group ROIC data post-2018 to verify capital allocation returns with precision. Management discontinued this disclosure after the 2018 Presidents Letter.]</w:t>
      </w:r>
    </w:p>
    <w:p>
      <w:pPr>
        <w:pStyle w:val="Heading2"/>
        <w:spacing w:after="120" w:before="240"/>
      </w:pPr>
      <w:r>
        <w:rPr>
          <w:rFonts w:ascii="Calibri" w:cs="Calibri" w:eastAsia="Calibri" w:hAnsi="Calibri"/>
          <w:b/>
          <w:bCs/>
          <w:color w:val="006D6D"/>
          <w:sz w:val="28"/>
          <w:szCs w:val="28"/>
        </w:rPr>
        <w:t xml:space="preserve">2C -- Narrative Consistency</w:t>
      </w:r>
    </w:p>
    <w:p>
      <w:pPr>
        <w:spacing w:after="200" w:line="276"/>
      </w:pPr>
      <w:r>
        <w:rPr>
          <w:rFonts w:ascii="Calibri" w:cs="Calibri" w:eastAsia="Calibri" w:hAnsi="Calibri"/>
          <w:color w:val="333333"/>
          <w:sz w:val="24"/>
          <w:szCs w:val="24"/>
        </w:rPr>
        <w:t xml:space="preserve">Clean record on KPI definitions: FCFA2S formula has been consistent across all reviewed press releases (FY2021-FY2025). No segment reclassifications or KPI redefinitions identified in the available filings. The one significant narrative change was the explicit 2021 announcement of: (a) end of special dividends, (b) lower hurdle rates for large VMS, and (c) non-VMS circle-of-competence expansion. This was disclosed proactively and transparently -- a positive governance signal. The Asseco impairment in Q3 2025 ($260M) is the first tangible evidence that the non-VMS expansion carries risk, though it is non-cash.</w:t>
      </w:r>
    </w:p>
    <w:p>
      <w:pPr>
        <w:pStyle w:val="Heading2"/>
        <w:spacing w:after="120" w:before="240"/>
      </w:pPr>
      <w:r>
        <w:rPr>
          <w:rFonts w:ascii="Calibri" w:cs="Calibri" w:eastAsia="Calibri" w:hAnsi="Calibri"/>
          <w:b/>
          <w:bCs/>
          <w:color w:val="006D6D"/>
          <w:sz w:val="28"/>
          <w:szCs w:val="28"/>
        </w:rPr>
        <w:t xml:space="preserve">2D -- Compensation Alignment</w:t>
      </w:r>
    </w:p>
    <w:p>
      <w:pPr>
        <w:spacing w:after="200" w:line="276"/>
      </w:pPr>
      <w:r>
        <w:rPr>
          <w:rFonts w:ascii="Calibri" w:cs="Calibri" w:eastAsia="Calibri" w:hAnsi="Calibri"/>
          <w:color w:val="333333"/>
          <w:sz w:val="24"/>
          <w:szCs w:val="24"/>
        </w:rPr>
        <w:t xml:space="preserve">[!] [USER INPUT REQUIRED: Management Information Circular (proxy circular) for executive compensation details. Not available in press release documents reviewed. Key questions: What metrics drive CEO/operating group president pay? Does compensation include SBC and if so at what scale? Are hurdle-rate calculations used in LTI vesting? These are material to assessing alignment.]</w:t>
      </w:r>
    </w:p>
    <w:p>
      <w:pPr>
        <w:spacing w:after="200" w:line="276"/>
      </w:pPr>
      <w:r>
        <w:rPr>
          <w:rFonts w:ascii="Calibri" w:cs="Calibri" w:eastAsia="Calibri" w:hAnsi="Calibri"/>
          <w:color w:val="333333"/>
          <w:sz w:val="24"/>
          <w:szCs w:val="24"/>
        </w:rPr>
        <w:t xml:space="preserve">What is known from filings: Mark Leonard has historically held a large equity stake in CSU, aligning his personal wealth with shareholder returns. The 2018 letter references a 'craftsman to compounder' culture -- operating group presidents are incentivized as permanent owners, not short-term managers. The compensation philosophy is oriented around long-term FCFA2S per share and ROIC -- both of which are more shareholder-aligned than revenue or EBITDA targets.</w:t>
      </w:r>
    </w:p>
    <w:p>
      <w:pPr>
        <w:spacing w:after="200" w:line="276"/>
      </w:pPr>
      <w:r>
        <w:rPr>
          <w:rFonts w:ascii="Calibri" w:cs="Calibri" w:eastAsia="Calibri" w:hAnsi="Calibri"/>
          <w:color w:val="333333"/>
          <w:sz w:val="24"/>
          <w:szCs w:val="24"/>
        </w:rPr>
        <w:t xml:space="preserve">Investor Implication: Management credibility is very high. The 2021 transparency on lower hurdle rates is a rare example of a founder proactively disclosing a strategic trade-off that is adverse to short-term ROIC optically -- indicative of genuine alignment with long-term shareholders.</w:t>
      </w:r>
    </w:p>
    <w:p>
      <w:pPr>
        <w:pStyle w:val="Heading1"/>
        <w:spacing w:after="120" w:before="240"/>
      </w:pPr>
      <w:r>
        <w:rPr>
          <w:rFonts w:ascii="Calibri" w:cs="Calibri" w:eastAsia="Calibri" w:hAnsi="Calibri"/>
          <w:b/>
          <w:bCs/>
          <w:color w:val="333333"/>
          <w:sz w:val="32"/>
          <w:szCs w:val="32"/>
        </w:rPr>
        <w:t xml:space="preserve">Section 3 -- The Moat: Independent Verification</w:t>
      </w:r>
    </w:p>
    <w:p>
      <w:pPr>
        <w:pStyle w:val="Heading2"/>
        <w:spacing w:after="120" w:before="240"/>
      </w:pPr>
      <w:r>
        <w:rPr>
          <w:rFonts w:ascii="Calibri" w:cs="Calibri" w:eastAsia="Calibri" w:hAnsi="Calibri"/>
          <w:b/>
          <w:bCs/>
          <w:color w:val="006D6D"/>
          <w:sz w:val="28"/>
          <w:szCs w:val="28"/>
        </w:rPr>
        <w:t xml:space="preserve">3A -- Claimed Advantage 1: Switching Costs in Mission-Critical VMS</w:t>
      </w:r>
    </w:p>
    <w:p>
      <w:pPr>
        <w:spacing w:after="200" w:line="276"/>
      </w:pPr>
      <w:r>
        <w:rPr>
          <w:rFonts w:ascii="Calibri" w:cs="Calibri" w:eastAsia="Calibri" w:hAnsi="Calibri"/>
          <w:color w:val="333333"/>
          <w:sz w:val="24"/>
          <w:szCs w:val="24"/>
        </w:rPr>
        <w:t xml:space="preserve">Claim: VMS customers cannot switch providers without catastrophic operational disruption. The software is embedded in daily workflows (billing, permitting, scheduling, compliance reporting) that are regulated or mission-critical. (Source: 2018 Presidents Letter -- 'Our businesses provide specialized software... switching is uncommon and costly')</w:t>
      </w:r>
    </w:p>
    <w:p>
      <w:pPr>
        <w:spacing w:after="200" w:line="276"/>
      </w:pPr>
      <w:r>
        <w:rPr>
          <w:rFonts w:ascii="Calibri" w:cs="Calibri" w:eastAsia="Calibri" w:hAnsi="Calibri"/>
          <w:color w:val="333333"/>
          <w:sz w:val="24"/>
          <w:szCs w:val="24"/>
        </w:rPr>
        <w:t xml:space="preserve">Independent verification: No direct independent study of VMS customer churn available in public filings. Indirect verification: CSU has grown maintenance revenue consistently across every year from FY2021 to FY2025, with no disclosed net churn event. Competitor Tyler Technologies (TYL) discloses multi-year government software contracts with typical terms of 5-10 years -- corroborating that government VMS switching rates are structurally low. [SOURCE: INDEPENDENT PUBLIC DATA -- Tyler Technologies 2024 Annual Report]</w:t>
      </w:r>
    </w:p>
    <w:p>
      <w:pPr>
        <w:spacing w:after="200" w:line="276"/>
      </w:pPr>
      <w:r>
        <w:rPr>
          <w:rFonts w:ascii="Calibri" w:cs="Calibri" w:eastAsia="Calibri" w:hAnsi="Calibri"/>
          <w:color w:val="333333"/>
          <w:sz w:val="24"/>
          <w:szCs w:val="24"/>
        </w:rPr>
        <w:t xml:space="preserve">Switching cost estimate: For a government department using a CSU permitting system, switching costs include: (1) RFP and procurement process (~6-18 months, significant staff time), (2) data migration (typically $200K-$2M depending on data complexity), (3) staff retraining (50-200 staff x $2,000-$5,000 per person), (4) parallel-running risk period (3-6 months at full cost of both systems). Total estimated switching cost range: $500K-$5M+ for a mid-size government department. Annual maintenance fee for same customer: typically $50K-$300K. Implied switching cost / annual fee ratio: 3-20x. This is among the highest switching cost ratios in enterprise software.</w:t>
      </w:r>
    </w:p>
    <w:p>
      <w:pPr>
        <w:spacing w:after="200" w:line="276"/>
      </w:pPr>
      <w:r>
        <w:rPr>
          <w:rFonts w:ascii="Calibri" w:cs="Calibri" w:eastAsia="Calibri" w:hAnsi="Calibri"/>
          <w:color w:val="333333"/>
          <w:sz w:val="24"/>
          <w:szCs w:val="24"/>
        </w:rPr>
        <w:t xml:space="preserve">Vulnerability trigger: If a cloud-native VMS disruptor offers free data migration tools and achieves interoperability with legacy data formats (eliminating the primary migration cost), switching costs would compress materially. Watch: emergence of open-API VMS platforms in CSU's largest verticals (public sector, healthcare, utilities). No such disruptor is currently identified in CSU's Risk Factors.</w:t>
      </w:r>
    </w:p>
    <w:p>
      <w:pPr>
        <w:pStyle w:val="Heading2"/>
        <w:spacing w:after="120" w:before="240"/>
      </w:pPr>
      <w:r>
        <w:rPr>
          <w:rFonts w:ascii="Calibri" w:cs="Calibri" w:eastAsia="Calibri" w:hAnsi="Calibri"/>
          <w:b/>
          <w:bCs/>
          <w:color w:val="006D6D"/>
          <w:sz w:val="28"/>
          <w:szCs w:val="28"/>
        </w:rPr>
        <w:t xml:space="preserve">3B -- Claimed Advantage 2: Proprietary Acquisition Engine</w:t>
      </w:r>
    </w:p>
    <w:p>
      <w:pPr>
        <w:spacing w:after="200" w:line="276"/>
      </w:pPr>
      <w:r>
        <w:rPr>
          <w:rFonts w:ascii="Calibri" w:cs="Calibri" w:eastAsia="Calibri" w:hAnsi="Calibri"/>
          <w:color w:val="333333"/>
          <w:sz w:val="24"/>
          <w:szCs w:val="24"/>
        </w:rPr>
        <w:t xml:space="preserve">Claim: CSU's 30-year track record as a VMS acquirer creates a proprietary deal pipeline that competitors cannot replicate quickly. Management stated in the 2021 letter that CSI is invited to only 16% of large VMS processes (~40-70 large VMS sold annually; CSI invited to ~16% = 6-11 deals per year). This implies an 'invisible funnel' of relationship-based sourcing that supplements the formal M&amp;A process. (Source: February 2021 Shareholder Letter)</w:t>
      </w:r>
    </w:p>
    <w:p>
      <w:pPr>
        <w:spacing w:after="200" w:line="276"/>
      </w:pPr>
      <w:r>
        <w:rPr>
          <w:rFonts w:ascii="Calibri" w:cs="Calibri" w:eastAsia="Calibri" w:hAnsi="Calibri"/>
          <w:color w:val="333333"/>
          <w:sz w:val="24"/>
          <w:szCs w:val="24"/>
        </w:rPr>
        <w:t xml:space="preserve">Independent verification: Unverifiable from public sources. The claim is plausible given CSU's acquisition history (estimated 500+ BUs acquired since 1995), but no independent database of VMS M&amp;A deal-sourcing rates is publicly available. Topicus's public listing and separate deal activity corroborates that the decentralized model can be replicated -- which is both a strength (scalable) and a risk (Topicus competes with CSU for some deals).</w:t>
      </w:r>
    </w:p>
    <w:p>
      <w:pPr>
        <w:spacing w:after="200" w:line="276"/>
      </w:pPr>
      <w:r>
        <w:rPr>
          <w:rFonts w:ascii="Calibri" w:cs="Calibri" w:eastAsia="Calibri" w:hAnsi="Calibri"/>
          <w:color w:val="333333"/>
          <w:sz w:val="24"/>
          <w:szCs w:val="24"/>
        </w:rPr>
        <w:t xml:space="preserve">Vulnerability trigger: If PE multiples for VMS assets compress (sellers prefer PE speed and certainty over CSU's lower-hurdle-rate model), CSU's deal invitation rate could decline. Current rate of 16% would need to fall below ~8% before acquisition pace materially decelerates.</w:t>
      </w:r>
    </w:p>
    <w:p>
      <w:pPr>
        <w:pStyle w:val="Heading2"/>
        <w:spacing w:after="120" w:before="240"/>
      </w:pPr>
      <w:r>
        <w:rPr>
          <w:rFonts w:ascii="Calibri" w:cs="Calibri" w:eastAsia="Calibri" w:hAnsi="Calibri"/>
          <w:b/>
          <w:bCs/>
          <w:color w:val="006D6D"/>
          <w:sz w:val="28"/>
          <w:szCs w:val="28"/>
        </w:rPr>
        <w:t xml:space="preserve">3C -- Claimed Advantage 3: Decentralized Operating Model</w:t>
      </w:r>
    </w:p>
    <w:p>
      <w:pPr>
        <w:spacing w:after="200" w:line="276"/>
      </w:pPr>
      <w:r>
        <w:rPr>
          <w:rFonts w:ascii="Calibri" w:cs="Calibri" w:eastAsia="Calibri" w:hAnsi="Calibri"/>
          <w:color w:val="333333"/>
          <w:sz w:val="24"/>
          <w:szCs w:val="24"/>
        </w:rPr>
        <w:t xml:space="preserve">Claim: CSU's operating group structure allows acquired businesses to retain autonomy, culture, and management -- reducing post-acquisition attrition. This is contrasted with PE roll-ups or corporate acquirers that centralize functions and destroy talent. (Source: 2018 Presidents Letter -- 'craftsman to compounder' framework)</w:t>
      </w:r>
    </w:p>
    <w:p>
      <w:pPr>
        <w:spacing w:after="200" w:line="276"/>
      </w:pPr>
      <w:r>
        <w:rPr>
          <w:rFonts w:ascii="Calibri" w:cs="Calibri" w:eastAsia="Calibri" w:hAnsi="Calibri"/>
          <w:color w:val="333333"/>
          <w:sz w:val="24"/>
          <w:szCs w:val="24"/>
        </w:rPr>
        <w:t xml:space="preserve">Independent verification: No independent management retention data available. Corroborating evidence: Topicus's European expansion under the same model has produced consistent revenue growth, suggesting the framework is portable. The fact that former CSU operating group presidents have started or joined competing acquirers is both evidence of talent quality and a potential risk -- trained acquirers leave to compete.</w:t>
      </w:r>
    </w:p>
    <w:p>
      <w:pPr>
        <w:spacing w:after="200" w:line="276"/>
      </w:pPr>
      <w:r>
        <w:rPr>
          <w:rFonts w:ascii="Calibri" w:cs="Calibri" w:eastAsia="Calibri" w:hAnsi="Calibri"/>
          <w:color w:val="333333"/>
          <w:sz w:val="24"/>
          <w:szCs w:val="24"/>
        </w:rPr>
        <w:t xml:space="preserve">Competitor mention analysis: Competitors named in filings include Roper Technologies, Tyler Technologies, Enghouse Systems, and private equity generically. CSU avoids naming specific PE firms -- suggesting competitive sensitivity around deal-sourcing dynamics.</w:t>
      </w:r>
    </w:p>
    <w:p>
      <w:pPr>
        <w:spacing w:after="200" w:line="276"/>
      </w:pPr>
      <w:r>
        <w:rPr>
          <w:rFonts w:ascii="Calibri" w:cs="Calibri" w:eastAsia="Calibri" w:hAnsi="Calibri"/>
          <w:color w:val="333333"/>
          <w:sz w:val="24"/>
          <w:szCs w:val="24"/>
        </w:rPr>
        <w:t xml:space="preserve">Investor Implication: The moat is real but concentrated in switching costs (independently verifiable) and acquisition reputation (unverifiable but plausible). The switching cost moat alone justifies a premium multiple; the acquisition engine optionality is upside.</w:t>
      </w:r>
    </w:p>
    <w:p>
      <w:pPr>
        <w:pStyle w:val="Heading1"/>
        <w:spacing w:after="120" w:before="240"/>
      </w:pPr>
      <w:r>
        <w:rPr>
          <w:rFonts w:ascii="Calibri" w:cs="Calibri" w:eastAsia="Calibri" w:hAnsi="Calibri"/>
          <w:b/>
          <w:bCs/>
          <w:color w:val="333333"/>
          <w:sz w:val="32"/>
          <w:szCs w:val="32"/>
        </w:rPr>
        <w:t xml:space="preserve">Section 4 -- Unit Economics: Derive, Don't Describe</w:t>
      </w:r>
    </w:p>
    <w:p>
      <w:pPr>
        <w:pStyle w:val="Heading2"/>
        <w:spacing w:after="120" w:before="240"/>
      </w:pPr>
      <w:r>
        <w:rPr>
          <w:rFonts w:ascii="Calibri" w:cs="Calibri" w:eastAsia="Calibri" w:hAnsi="Calibri"/>
          <w:b/>
          <w:bCs/>
          <w:color w:val="006D6D"/>
          <w:sz w:val="28"/>
          <w:szCs w:val="28"/>
        </w:rPr>
        <w:t xml:space="preserve">4A -- Customer Acquisition Cost (CAC)</w:t>
      </w:r>
    </w:p>
    <w:p>
      <w:pPr>
        <w:spacing w:after="200" w:line="276"/>
      </w:pPr>
      <w:r>
        <w:rPr>
          <w:rFonts w:ascii="Calibri" w:cs="Calibri" w:eastAsia="Calibri" w:hAnsi="Calibri"/>
          <w:color w:val="333333"/>
          <w:sz w:val="24"/>
          <w:szCs w:val="24"/>
        </w:rPr>
        <w:t xml:space="preserve">CSU does not disclose customer count, churn rate, or sales &amp; marketing spend as a separate line item. CAC cannot be directly derived from available press releases. [!] [USER INPUT REQUIRED: S&amp;M expense from annual MD&amp;A or proxy filing to derive CAC. Press releases aggregate all operating expenses without the sales/marketing split.]</w:t>
      </w:r>
    </w:p>
    <w:p>
      <w:pPr>
        <w:spacing w:after="200" w:line="276"/>
      </w:pPr>
      <w:r>
        <w:rPr>
          <w:rFonts w:ascii="Calibri" w:cs="Calibri" w:eastAsia="Calibri" w:hAnsi="Calibri"/>
          <w:color w:val="333333"/>
          <w:sz w:val="24"/>
          <w:szCs w:val="24"/>
        </w:rPr>
        <w:t xml:space="preserve">What can be derived: The acquisition-based growth model means CSU's primary 'customer acquisition' mechanism is M&amp;A, not organic sales. The effective CAC for CSU is better understood as: (Acquisition price paid) / (Annual maintenance revenue acquired). Using FY2021-FY2025 average acquisition spend of $1.48B/year and assuming typical VMS acquisition multiples of 2-4x revenue (of which ~70% is maintenance), implied annual maintenance revenue acquired = $0.26B-$0.52B per year, at a 'CAC' of $1.48B. Implied payback period: 3-6 years on maintenance revenue alone, or ~2-4 years on FCF basis at typical VMS FCF margins of 25-35%.</w:t>
      </w:r>
    </w:p>
    <w:p>
      <w:pPr>
        <w:spacing w:after="200" w:line="276"/>
      </w:pPr>
      <w:r>
        <w:rPr>
          <w:rFonts w:ascii="Calibri" w:cs="Calibri" w:eastAsia="Calibri" w:hAnsi="Calibri"/>
          <w:color w:val="333333"/>
          <w:sz w:val="24"/>
          <w:szCs w:val="24"/>
        </w:rPr>
        <w:t xml:space="preserve">Assumption: Acquisition multiples of 2-4x revenue; VMS maintenance mix 70%; FCF margins 25-35% on acquired businesses. These are industry-standard ranges for SMB VMS -- not company-specific disclosures.</w:t>
      </w:r>
    </w:p>
    <w:p>
      <w:pPr>
        <w:pStyle w:val="Heading2"/>
        <w:spacing w:after="120" w:before="240"/>
      </w:pPr>
      <w:r>
        <w:rPr>
          <w:rFonts w:ascii="Calibri" w:cs="Calibri" w:eastAsia="Calibri" w:hAnsi="Calibri"/>
          <w:b/>
          <w:bCs/>
          <w:color w:val="006D6D"/>
          <w:sz w:val="28"/>
          <w:szCs w:val="28"/>
        </w:rPr>
        <w:t xml:space="preserve">4B -- LTV and LTV/CAC</w:t>
      </w:r>
    </w:p>
    <w:p>
      <w:pPr>
        <w:spacing w:after="200" w:line="276"/>
      </w:pPr>
      <w:r>
        <w:rPr>
          <w:rFonts w:ascii="Calibri" w:cs="Calibri" w:eastAsia="Calibri" w:hAnsi="Calibri"/>
          <w:color w:val="333333"/>
          <w:sz w:val="24"/>
          <w:szCs w:val="24"/>
        </w:rPr>
        <w:t xml:space="preserve">[!] LTV/CAC cannot be precisely calculated without disclosed customer count, churn rate, and segment-level FCF. Using the aggregate acquisition economics framework: if CSU pays 2-4x revenue for a VMS business with a 25-year asset life (low churn assumption) and 25-35% FCF margins, the LTV/CAC sensitivity table below shows results across scenarios.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Scenario (CAC = acquisition price)</w:t>
            </w:r>
          </w:p>
        </w:tc>
        <w:tc>
          <w:tcPr>
            <w:tcW w:type="dxa" w:w="312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LTV/CAC</w:t>
            </w:r>
          </w:p>
        </w:tc>
        <w:tc>
          <w:tcPr>
            <w:tcW w:type="dxa" w:w="312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Category</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Low (2x rev, 25% FCF margin, 3% discount)</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6.0x</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Healthy</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Mid (3x rev, 30% FCF margin, 5% discount)</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4.2x</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Healthy</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High (4x rev, 35% FCF margin, 8% discount)</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3.0x</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Healthy</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Stress (4x rev, 20% FCF margin, 10% discount)</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1.4x</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Marginal</w:t>
            </w:r>
          </w:p>
        </w:tc>
      </w:tr>
    </w:tbl>
    <w:p>
      <w:pPr>
        <w:spacing w:after="200"/>
      </w:pPr>
    </w:p>
    <w:p>
      <w:pPr>
        <w:pStyle w:val="Heading2"/>
        <w:spacing w:after="120" w:before="240"/>
      </w:pPr>
      <w:r>
        <w:rPr>
          <w:rFonts w:ascii="Calibri" w:cs="Calibri" w:eastAsia="Calibri" w:hAnsi="Calibri"/>
          <w:b/>
          <w:bCs/>
          <w:color w:val="006D6D"/>
          <w:sz w:val="28"/>
          <w:szCs w:val="28"/>
        </w:rPr>
        <w:t xml:space="preserve">4C -- Marginal Economics</w:t>
      </w:r>
    </w:p>
    <w:p>
      <w:pPr>
        <w:spacing w:after="200" w:line="276"/>
      </w:pPr>
      <w:r>
        <w:rPr>
          <w:rFonts w:ascii="Calibri" w:cs="Calibri" w:eastAsia="Calibri" w:hAnsi="Calibri"/>
          <w:color w:val="333333"/>
          <w:sz w:val="24"/>
          <w:szCs w:val="24"/>
        </w:rPr>
        <w:t xml:space="preserve">Sources: FCFA2S and revenue from annual press releases FY2021-FY2025.</w:t>
      </w:r>
    </w:p>
    <w:p>
      <w:pPr>
        <w:spacing w:after="200" w:line="276"/>
      </w:pPr>
      <w:r>
        <w:rPr>
          <w:rFonts w:ascii="Calibri" w:cs="Calibri" w:eastAsia="Calibri" w:hAnsi="Calibri"/>
          <w:color w:val="333333"/>
          <w:sz w:val="24"/>
          <w:szCs w:val="24"/>
        </w:rPr>
        <w:t xml:space="preserve">The non-monotonic pattern (negative in FY2022, recovering in FY2023-FY2025) is consistent with a large-deal acquisition cycle: heavy integration spend reduces near-term FCFA2S, followed by normalization as acquired businesses mature. The average marginal FCFA2S/revenue ratio over FY2022-FY2025 is ~12.1%, reflecting blended organic + acquired economics.</w:t>
      </w:r>
    </w:p>
    <w:p>
      <w:pPr>
        <w:spacing w:after="200" w:line="276"/>
      </w:pPr>
      <w:r>
        <w:rPr>
          <w:rFonts w:ascii="Calibri" w:cs="Calibri" w:eastAsia="Calibri" w:hAnsi="Calibri"/>
          <w:color w:val="333333"/>
          <w:sz w:val="24"/>
          <w:szCs w:val="24"/>
        </w:rPr>
        <w:t xml:space="preserve">Investor Implication: Unit economics are healthy at acquisition entry multiples below 4x revenue, and the marginal FCF generation from incremental revenue is improving as the portfolio matures -- a structural tailwind for FCFA2S growth even at flat organic growth.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c>
          <w:tcPr>
            <w:tcW w:type="dxa" w:w="1872"/>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Period</w:t>
            </w:r>
          </w:p>
        </w:tc>
        <w:tc>
          <w:tcPr>
            <w:tcW w:type="dxa" w:w="1872"/>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Delta Revenue</w:t>
            </w:r>
          </w:p>
        </w:tc>
        <w:tc>
          <w:tcPr>
            <w:tcW w:type="dxa" w:w="1872"/>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Delta FCFA2S</w:t>
            </w:r>
          </w:p>
        </w:tc>
        <w:tc>
          <w:tcPr>
            <w:tcW w:type="dxa" w:w="1872"/>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Marginal FCFA2S/Rev</w:t>
            </w:r>
          </w:p>
        </w:tc>
        <w:tc>
          <w:tcPr>
            <w:tcW w:type="dxa" w:w="1872"/>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Interpretation</w:t>
            </w:r>
          </w:p>
        </w:tc>
      </w:tr>
      <w:tr>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FY2021-&gt;FY2022</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$5,106M-&gt;$6,622M (+$1,516M)</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$883M-&gt;$853M (-$30M)</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-2.0%</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Negative increment -- FY2022 integration costs and FX headwinds overwhelmed new acquisition cash flows</w:t>
            </w:r>
          </w:p>
        </w:tc>
      </w:tr>
      <w:tr>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FY2022-&gt;FY2023</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$6,622M-&gt;$8,407M (+$1,785M)</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$853M-&gt;$1,160M (+$307M)</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+17.2%</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Strong recovery -- acquired businesses from FY2021-FY2022 M&amp;A cohort began contributing</w:t>
            </w:r>
          </w:p>
        </w:tc>
      </w:tr>
      <w:tr>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FY2023-&gt;FY2024</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$8,407M-&gt;$10,066M (+$1,659M)</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$1,160M-&gt;$1,472M (+$312M)</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+18.8%</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Consistent -- FCF conversion improving as amortization plateaus on older acquisitions</w:t>
            </w:r>
          </w:p>
        </w:tc>
      </w:tr>
      <w:tr>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FY2024-&gt;FY2025</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$10,066M-&gt;$11,623M (+$1,557M)</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$1,472M-&gt;$1,683M (+$211M)</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+13.6%</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Slightly lower -- mix of lower organic growth and possibly higher integration spend</w:t>
            </w:r>
          </w:p>
        </w:tc>
      </w:tr>
    </w:tbl>
    <w:p>
      <w:pPr>
        <w:spacing w:after="200"/>
      </w:pPr>
    </w:p>
    <w:p>
      <w:pPr>
        <w:pStyle w:val="Heading1"/>
        <w:spacing w:after="120" w:before="240"/>
      </w:pPr>
      <w:r>
        <w:rPr>
          <w:rFonts w:ascii="Calibri" w:cs="Calibri" w:eastAsia="Calibri" w:hAnsi="Calibri"/>
          <w:b/>
          <w:bCs/>
          <w:color w:val="333333"/>
          <w:sz w:val="32"/>
          <w:szCs w:val="32"/>
        </w:rPr>
        <w:t xml:space="preserve">Section 5 -- Financial Model: Statutory vs. Economic Earnings</w:t>
      </w:r>
    </w:p>
    <w:p>
      <w:pPr>
        <w:pStyle w:val="Heading2"/>
        <w:spacing w:after="120" w:before="240"/>
      </w:pPr>
      <w:r>
        <w:rPr>
          <w:rFonts w:ascii="Calibri" w:cs="Calibri" w:eastAsia="Calibri" w:hAnsi="Calibri"/>
          <w:b/>
          <w:bCs/>
          <w:color w:val="006D6D"/>
          <w:sz w:val="28"/>
          <w:szCs w:val="28"/>
        </w:rPr>
        <w:t xml:space="preserve">5A -- Five-Year Summary Financial Table</w:t>
      </w:r>
    </w:p>
    <w:p>
      <w:pPr>
        <w:spacing w:after="200" w:line="276"/>
      </w:pPr>
      <w:r>
        <w:rPr>
          <w:rFonts w:ascii="Calibri" w:cs="Calibri" w:eastAsia="Calibri" w:hAnsi="Calibri"/>
          <w:color w:val="333333"/>
          <w:sz w:val="24"/>
          <w:szCs w:val="24"/>
        </w:rPr>
        <w:t xml:space="preserve">All figures in USD millions unless noted. FY2025 figures from FY2025 annual results (released March 9, 2026); prior years from respective annual press releases.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1560"/>
        <w:gridCol w:w="1560"/>
        <w:gridCol w:w="1560"/>
        <w:gridCol w:w="1560"/>
        <w:gridCol w:w="1560"/>
      </w:tblGrid>
      <w:tr>
        <w:tc>
          <w:tcPr>
            <w:tcW w:type="dxa" w:w="156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Metric</w:t>
            </w:r>
          </w:p>
        </w:tc>
        <w:tc>
          <w:tcPr>
            <w:tcW w:type="dxa" w:w="156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FY2021</w:t>
            </w:r>
          </w:p>
        </w:tc>
        <w:tc>
          <w:tcPr>
            <w:tcW w:type="dxa" w:w="156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FY2022</w:t>
            </w:r>
          </w:p>
        </w:tc>
        <w:tc>
          <w:tcPr>
            <w:tcW w:type="dxa" w:w="156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FY2023</w:t>
            </w:r>
          </w:p>
        </w:tc>
        <w:tc>
          <w:tcPr>
            <w:tcW w:type="dxa" w:w="156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FY2024</w:t>
            </w:r>
          </w:p>
        </w:tc>
        <w:tc>
          <w:tcPr>
            <w:tcW w:type="dxa" w:w="156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FY2025</w:t>
            </w:r>
          </w:p>
        </w:tc>
      </w:tr>
      <w:tr>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Revenue ($M)</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$5,106</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$6,622</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$8,407</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$10,066</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$11,623</w:t>
            </w:r>
          </w:p>
        </w:tc>
      </w:tr>
      <w:tr>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Revenue Growth YoY</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+30%</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+27%</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+20%</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+15%</w:t>
            </w:r>
          </w:p>
        </w:tc>
      </w:tr>
      <w:tr>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Organic Revenue Growth</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+7%</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+5%</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n/d</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~5%</w:t>
            </w:r>
          </w:p>
        </w:tc>
      </w:tr>
      <w:tr>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Gross Profit ($M)</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[DATA NOT AVAILABLE -- not separately disclosed in press releases]</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
            </w:r>
          </w:p>
        </w:tc>
      </w:tr>
      <w:tr>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Gross Margin %</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[DATA NOT AVAILABLE]</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
            </w:r>
          </w:p>
        </w:tc>
      </w:tr>
      <w:tr>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EBITDA ($M)</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[DATA NOT AVAILABLE -- management uses FCFA2S, not EBITDA]</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
            </w:r>
          </w:p>
        </w:tc>
      </w:tr>
      <w:tr>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EBITDA Margin %</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[DATA NOT AVAILABLE]</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
            </w:r>
          </w:p>
        </w:tc>
      </w:tr>
      <w:tr>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Net Income - CSI Shareholders ($M)</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$310</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$512</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$565</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$731</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$512*</w:t>
            </w:r>
          </w:p>
        </w:tc>
      </w:tr>
      <w:tr>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Diluted EPS (USD)</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$14.65</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$24.18</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$26.67</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$34.48</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$24.15*</w:t>
            </w:r>
          </w:p>
        </w:tc>
      </w:tr>
      <w:tr>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CFO ($M)</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$1,300</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$1,297</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$1,779</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$2,196</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$2,732</w:t>
            </w:r>
          </w:p>
        </w:tc>
      </w:tr>
      <w:tr>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Capex ($M)</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$29</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$41</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$42</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$67</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~$88 (est)</w:t>
            </w:r>
          </w:p>
        </w:tc>
      </w:tr>
      <w:tr>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FCFA2S ($M)</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$883</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$853</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$1,160</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$1,472</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$1,683</w:t>
            </w:r>
          </w:p>
        </w:tc>
      </w:tr>
      <w:tr>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FCFA2S Margin (% of Revenue)</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17.3%</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12.9%</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13.8%</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14.6%</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14.5%</w:t>
            </w:r>
          </w:p>
        </w:tc>
      </w:tr>
      <w:tr>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Acquisition Spend - Cash ($M)</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$1,224</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$1,633</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$1,609</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$1,347</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$1,579</w:t>
            </w:r>
          </w:p>
        </w:tc>
      </w:tr>
      <w:tr>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Cash &amp; Equivalents ($M)</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$763</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$811</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$1,284</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$1,980</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$3,089</w:t>
            </w:r>
          </w:p>
        </w:tc>
      </w:tr>
      <w:tr>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Total Assets ($M)</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$5,766</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$7,882</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$10,899</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$12,863</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$16,171</w:t>
            </w:r>
          </w:p>
        </w:tc>
      </w:tr>
      <w:tr>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Intangibles - Net ($M)</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$3,428</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$4,679</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$6,707</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$7,470</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~$8,500-9,000 (est)</w:t>
            </w:r>
          </w:p>
        </w:tc>
      </w:tr>
      <w:tr>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Total Equity - CSI ($M)</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n/d</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n/d</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n/d</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$2,795</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$4,267</w:t>
            </w:r>
          </w:p>
        </w:tc>
      </w:tr>
      <w:tr>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Diluted Shares (M)</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~21.2</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~21.2</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~21.2</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~21.2</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~21.2</w:t>
            </w:r>
          </w:p>
        </w:tc>
      </w:tr>
    </w:tbl>
    <w:p>
      <w:pPr>
        <w:spacing w:after="200"/>
      </w:pPr>
    </w:p>
    <w:p>
      <w:pPr>
        <w:pStyle w:val="Heading2"/>
        <w:spacing w:after="120" w:before="240"/>
      </w:pPr>
      <w:r>
        <w:rPr>
          <w:rFonts w:ascii="Calibri" w:cs="Calibri" w:eastAsia="Calibri" w:hAnsi="Calibri"/>
          <w:b/>
          <w:bCs/>
          <w:color w:val="006D6D"/>
          <w:sz w:val="28"/>
          <w:szCs w:val="28"/>
        </w:rPr>
        <w:t xml:space="preserve">5B -- Economic EBITDA and SBC Analysis</w:t>
      </w:r>
    </w:p>
    <w:p>
      <w:pPr>
        <w:spacing w:after="200" w:line="276"/>
      </w:pPr>
      <w:r>
        <w:rPr>
          <w:rFonts w:ascii="Calibri" w:cs="Calibri" w:eastAsia="Calibri" w:hAnsi="Calibri"/>
          <w:color w:val="333333"/>
          <w:sz w:val="24"/>
          <w:szCs w:val="24"/>
        </w:rPr>
        <w:t xml:space="preserve">CSU does not disclose EBITDA or stock-based compensation as separate line items in its press releases. EBITDA and SBC analysis requires the full annual MD&amp;A and financial statement notes, which are not available in the press release format reviewed.</w:t>
      </w:r>
    </w:p>
    <w:p>
      <w:pPr>
        <w:spacing w:after="200" w:line="276"/>
      </w:pPr>
      <w:r>
        <w:rPr>
          <w:rFonts w:ascii="Calibri" w:cs="Calibri" w:eastAsia="Calibri" w:hAnsi="Calibri"/>
          <w:color w:val="333333"/>
          <w:sz w:val="24"/>
          <w:szCs w:val="24"/>
        </w:rPr>
        <w:t xml:space="preserve">[!] [USER INPUT REQUIRED: Full annual report (not press release) to extract: (1) EBITDA reconciliation, (2) SBC/ESOP expense by year, (3) operating group cost structure. Without these, Economic EBITDA (Adj EBITDA minus SBC) cannot be computed.]</w:t>
      </w:r>
    </w:p>
    <w:p>
      <w:pPr>
        <w:spacing w:after="200" w:line="276"/>
      </w:pPr>
      <w:r>
        <w:rPr>
          <w:rFonts w:ascii="Calibri" w:cs="Calibri" w:eastAsia="Calibri" w:hAnsi="Calibri"/>
          <w:color w:val="333333"/>
          <w:sz w:val="24"/>
          <w:szCs w:val="24"/>
        </w:rPr>
        <w:t xml:space="preserve">What can be inferred: CSU's primary profitability metric is FCFA2S, which is essentially a cash-based operating earnings measure. It excludes amortization of acquired intangibles (the largest non-cash charge) by using CFO as the starting point. As such, FCFA2S functions as a proxy for Economic EBITDA minus maintenance capex minus interest costs. The consistency of FCFA2S growth (from $883M in FY2021 to $1,683M in FY2025, a 90% cumulative increase) across varying acquisition environments suggests the underlying business is generating substantial real economic profits. Note: * FY2025 GAAP net income and EPS depressed by $260M non-cash Asseco Poland equity-method revaluation charge. Adjusted for this charge (pre-tax), core net income ~ $637M+, core EPS ~ $30+.</w:t>
      </w:r>
    </w:p>
    <w:p>
      <w:pPr>
        <w:pStyle w:val="Heading2"/>
        <w:spacing w:after="120" w:before="240"/>
      </w:pPr>
      <w:r>
        <w:rPr>
          <w:rFonts w:ascii="Calibri" w:cs="Calibri" w:eastAsia="Calibri" w:hAnsi="Calibri"/>
          <w:b/>
          <w:bCs/>
          <w:color w:val="006D6D"/>
          <w:sz w:val="28"/>
          <w:szCs w:val="28"/>
        </w:rPr>
        <w:t xml:space="preserve">5C -- Cash Flow Quality</w:t>
      </w:r>
    </w:p>
    <w:p>
      <w:pPr>
        <w:spacing w:after="200" w:line="276"/>
      </w:pPr>
      <w:r>
        <w:rPr>
          <w:rFonts w:ascii="Calibri" w:cs="Calibri" w:eastAsia="Calibri" w:hAnsi="Calibri"/>
          <w:color w:val="333333"/>
          <w:sz w:val="24"/>
          <w:szCs w:val="24"/>
        </w:rPr>
        <w:t xml:space="preserve">FCFA2S/CFO conversion averages ~65-68%, consistent across the period. The gap between CFO and FCFA2S (~35%) reflects primarily: (a) interest payments on debt and leases, (b) lease payments, (c) IRGA/TSS revaluation charge, offset by (d) interest and dividends received. Working capital is structurally negative (maintenance pre-payments), which is a cash flow quality positive.</w:t>
      </w:r>
    </w:p>
    <w:p>
      <w:pPr>
        <w:spacing w:after="200" w:line="276"/>
      </w:pPr>
      <w:r>
        <w:rPr>
          <w:rFonts w:ascii="Calibri" w:cs="Calibri" w:eastAsia="Calibri" w:hAnsi="Calibri"/>
          <w:color w:val="333333"/>
          <w:sz w:val="24"/>
          <w:szCs w:val="24"/>
        </w:rPr>
        <w:t xml:space="preserve">Cash flow ex-acquisitions: CFO minus Capex represents operating cash generation before M&amp;A. At $1.4-1.6B annually in FY2024-FY2025, this comfortably covers acquisition spend of $1.3-1.6B -- meaning CSU is essentially self-funding its M&amp;A from operations, with the growing cash balance ($3.1B at FY2025 end) providing additional firepower.</w:t>
      </w:r>
    </w:p>
    <w:p>
      <w:pPr>
        <w:spacing w:after="200" w:line="276"/>
      </w:pPr>
      <w:r>
        <w:rPr>
          <w:rFonts w:ascii="Calibri" w:cs="Calibri" w:eastAsia="Calibri" w:hAnsi="Calibri"/>
          <w:color w:val="333333"/>
          <w:sz w:val="24"/>
          <w:szCs w:val="24"/>
        </w:rPr>
        <w:t xml:space="preserve">Investor Implication: FCF quality is high -- conversion is consistent, working capital is a structural source of cash, and the business is self-funding its acquisition strategy without reliance on external equity.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1560"/>
        <w:gridCol w:w="1560"/>
        <w:gridCol w:w="1560"/>
        <w:gridCol w:w="1560"/>
        <w:gridCol w:w="1560"/>
      </w:tblGrid>
      <w:tr>
        <w:tc>
          <w:tcPr>
            <w:tcW w:type="dxa" w:w="156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Year</w:t>
            </w:r>
          </w:p>
        </w:tc>
        <w:tc>
          <w:tcPr>
            <w:tcW w:type="dxa" w:w="156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CFO</w:t>
            </w:r>
          </w:p>
        </w:tc>
        <w:tc>
          <w:tcPr>
            <w:tcW w:type="dxa" w:w="156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FCFA2S</w:t>
            </w:r>
          </w:p>
        </w:tc>
        <w:tc>
          <w:tcPr>
            <w:tcW w:type="dxa" w:w="156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FCFA2S/CFO</w:t>
            </w:r>
          </w:p>
        </w:tc>
        <w:tc>
          <w:tcPr>
            <w:tcW w:type="dxa" w:w="156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Capex</w:t>
            </w:r>
          </w:p>
        </w:tc>
        <w:tc>
          <w:tcPr>
            <w:tcW w:type="dxa" w:w="156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CFO minus Capex</w:t>
            </w:r>
          </w:p>
        </w:tc>
      </w:tr>
      <w:tr>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FY2021</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$1,300M</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$883M</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67.9%</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$29M</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$854M</w:t>
            </w:r>
          </w:p>
        </w:tc>
      </w:tr>
      <w:tr>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FY2022</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$1,297M</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$853M</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65.8%</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$41M</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$812M</w:t>
            </w:r>
          </w:p>
        </w:tc>
      </w:tr>
      <w:tr>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FY2023</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$1,779M</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$1,160M</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65.2%</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$42M</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$1,118M</w:t>
            </w:r>
          </w:p>
        </w:tc>
      </w:tr>
      <w:tr>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FY2024</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$2,196M</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$1,472M</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67.0%</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$67M</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$1,405M</w:t>
            </w:r>
          </w:p>
        </w:tc>
      </w:tr>
      <w:tr>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FY2025</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$2,732M</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$1,683M</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61.6%</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~$88M</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~$1,595M</w:t>
            </w:r>
          </w:p>
        </w:tc>
      </w:tr>
    </w:tbl>
    <w:p>
      <w:pPr>
        <w:spacing w:after="200"/>
      </w:pPr>
    </w:p>
    <w:p>
      <w:pPr>
        <w:pStyle w:val="Heading1"/>
        <w:spacing w:after="120" w:before="240"/>
      </w:pPr>
      <w:r>
        <w:rPr>
          <w:rFonts w:ascii="Calibri" w:cs="Calibri" w:eastAsia="Calibri" w:hAnsi="Calibri"/>
          <w:b/>
          <w:bCs/>
          <w:color w:val="333333"/>
          <w:sz w:val="32"/>
          <w:szCs w:val="32"/>
        </w:rPr>
        <w:t xml:space="preserve">Section 6 -- Tailwinds and Risks</w:t>
      </w:r>
    </w:p>
    <w:p>
      <w:pPr>
        <w:pStyle w:val="Heading2"/>
        <w:spacing w:after="120" w:before="240"/>
      </w:pPr>
      <w:r>
        <w:rPr>
          <w:rFonts w:ascii="Calibri" w:cs="Calibri" w:eastAsia="Calibri" w:hAnsi="Calibri"/>
          <w:b/>
          <w:bCs/>
          <w:color w:val="006D6D"/>
          <w:sz w:val="28"/>
          <w:szCs w:val="28"/>
        </w:rPr>
        <w:t xml:space="preserve">6A -- Structural Tailwinds (5+ Year)</w:t>
      </w:r>
    </w:p>
    <w:p>
      <w:pPr>
        <w:pStyle w:val="Heading3"/>
        <w:spacing w:after="120" w:before="240"/>
      </w:pPr>
      <w:r>
        <w:rPr>
          <w:rFonts w:ascii="Calibri" w:cs="Calibri" w:eastAsia="Calibri" w:hAnsi="Calibri"/>
          <w:b/>
          <w:bCs/>
          <w:color w:val="006D6D"/>
          <w:sz w:val="24"/>
          <w:szCs w:val="24"/>
        </w:rPr>
        <w:t xml:space="preserve">Tailwind 1: VMS Consolidation -- Massive Under-Penetrated Universe</w:t>
      </w:r>
    </w:p>
    <w:p>
      <w:pPr>
        <w:spacing w:after="200" w:line="276"/>
      </w:pPr>
      <w:r>
        <w:rPr>
          <w:rFonts w:ascii="Calibri" w:cs="Calibri" w:eastAsia="Calibri" w:hAnsi="Calibri"/>
          <w:color w:val="333333"/>
          <w:sz w:val="24"/>
          <w:szCs w:val="24"/>
        </w:rPr>
        <w:t xml:space="preserve">External trigger: Global VMS market is fragmented -- estimated tens of thousands of SMB VMS operators globally, of which CSU has acquired ~500+ (estimated). Penetration is &lt;5% of the addressable universe. Mark Leonard stated in the 2021 letter that 40-70 large VMS businesses are sold annually, and CSI is invited to only 16% of processes -- suggesting both deal supply and deal access are far from saturated. (Source: 2021 Shareholder Letter)</w:t>
      </w:r>
    </w:p>
    <w:p>
      <w:pPr>
        <w:spacing w:after="200" w:line="276"/>
      </w:pPr>
      <w:r>
        <w:rPr>
          <w:rFonts w:ascii="Calibri" w:cs="Calibri" w:eastAsia="Calibri" w:hAnsi="Calibri"/>
          <w:color w:val="333333"/>
          <w:sz w:val="24"/>
          <w:szCs w:val="24"/>
        </w:rPr>
        <w:t xml:space="preserve">Financial impact: Each additional $100M of acquisition spend (at blended 3x revenue multiple, 30% FCF margin) generates ~$10M of incremental annual FCFA2S within 2-3 years. If CSU sustains $1.5B/year of acquisition spend indefinitely, the forward FCFA2S runway is structural. Second-order: autonomous subsidiaries (Topicus, Lumine) access European and sector-specific deal pools that CSU's core six groups do not, multiplying addressable deal flow.</w:t>
      </w:r>
    </w:p>
    <w:p>
      <w:pPr>
        <w:pStyle w:val="Heading3"/>
        <w:spacing w:after="120" w:before="240"/>
      </w:pPr>
      <w:r>
        <w:rPr>
          <w:rFonts w:ascii="Calibri" w:cs="Calibri" w:eastAsia="Calibri" w:hAnsi="Calibri"/>
          <w:b/>
          <w:bCs/>
          <w:color w:val="006D6D"/>
          <w:sz w:val="24"/>
          <w:szCs w:val="24"/>
        </w:rPr>
        <w:t xml:space="preserve">Tailwind 2: Pricing Power on Installed Base</w:t>
      </w:r>
    </w:p>
    <w:p>
      <w:pPr>
        <w:spacing w:after="200" w:line="276"/>
      </w:pPr>
      <w:r>
        <w:rPr>
          <w:rFonts w:ascii="Calibri" w:cs="Calibri" w:eastAsia="Calibri" w:hAnsi="Calibri"/>
          <w:color w:val="333333"/>
          <w:sz w:val="24"/>
          <w:szCs w:val="24"/>
        </w:rPr>
        <w:t xml:space="preserve">External trigger: Inflation and rising software costs provide cover for annual maintenance price increases on captive customers. Given switching costs of 3-20x annual fee, customers absorb 3-5% annual price increases rather than risk operational disruption. Over a portfolio of $8.7B recurring revenue, each 1% net price increase generates ~$87M of incremental revenue at near-zero marginal cost. (Source: revenue mix from Q3 2025 Press Release)</w:t>
      </w:r>
    </w:p>
    <w:p>
      <w:pPr>
        <w:pStyle w:val="Heading3"/>
        <w:spacing w:after="120" w:before="240"/>
      </w:pPr>
      <w:r>
        <w:rPr>
          <w:rFonts w:ascii="Calibri" w:cs="Calibri" w:eastAsia="Calibri" w:hAnsi="Calibri"/>
          <w:b/>
          <w:bCs/>
          <w:color w:val="006D6D"/>
          <w:sz w:val="24"/>
          <w:szCs w:val="24"/>
        </w:rPr>
        <w:t xml:space="preserve">Tailwind 3: Cloud Migration of Legacy VMS -- Long Runway</w:t>
      </w:r>
    </w:p>
    <w:p>
      <w:pPr>
        <w:spacing w:after="200" w:line="276"/>
      </w:pPr>
      <w:r>
        <w:rPr>
          <w:rFonts w:ascii="Calibri" w:cs="Calibri" w:eastAsia="Calibri" w:hAnsi="Calibri"/>
          <w:color w:val="333333"/>
          <w:sz w:val="24"/>
          <w:szCs w:val="24"/>
        </w:rPr>
        <w:t xml:space="preserve">External trigger: Many CSU-owned VMS products are legacy on-premise systems. Migration to cloud/SaaS converts lumpy license revenue to ratable subscription revenue and reduces hosting costs over time. This is a multi-decade transition, providing an organic growth vector beyond pure M&amp;A. No specific cloud migration disclosure has been made in press releases reviewed -- this is inferred from industry dynamics and competitor disclosures (Tyler Technologies' cloud transition, e.g.).</w:t>
      </w:r>
    </w:p>
    <w:p>
      <w:pPr>
        <w:pStyle w:val="Heading2"/>
        <w:spacing w:after="120" w:before="240"/>
      </w:pPr>
      <w:r>
        <w:rPr>
          <w:rFonts w:ascii="Calibri" w:cs="Calibri" w:eastAsia="Calibri" w:hAnsi="Calibri"/>
          <w:b/>
          <w:bCs/>
          <w:color w:val="006D6D"/>
          <w:sz w:val="28"/>
          <w:szCs w:val="28"/>
        </w:rPr>
        <w:t xml:space="preserve">6B -- Cyclical Tailwinds (1-3 Year)</w:t>
      </w:r>
    </w:p>
    <w:p>
      <w:pPr>
        <w:pStyle w:val="Heading3"/>
        <w:spacing w:after="120" w:before="240"/>
      </w:pPr>
      <w:r>
        <w:rPr>
          <w:rFonts w:ascii="Calibri" w:cs="Calibri" w:eastAsia="Calibri" w:hAnsi="Calibri"/>
          <w:b/>
          <w:bCs/>
          <w:color w:val="006D6D"/>
          <w:sz w:val="24"/>
          <w:szCs w:val="24"/>
        </w:rPr>
        <w:t xml:space="preserve">Tailwind 4: Interest Rate Decline</w:t>
      </w:r>
    </w:p>
    <w:p>
      <w:pPr>
        <w:spacing w:after="200" w:line="276"/>
      </w:pPr>
      <w:r>
        <w:rPr>
          <w:rFonts w:ascii="Calibri" w:cs="Calibri" w:eastAsia="Calibri" w:hAnsi="Calibri"/>
          <w:color w:val="333333"/>
          <w:sz w:val="24"/>
          <w:szCs w:val="24"/>
        </w:rPr>
        <w:t xml:space="preserve">If the Bank of Canada/Fed cuts rates materially in 2026-2027, two effects: (1) CSU's WACC compresses, lifting DCF-implied fair value; (2) PE acquisition competition for VMS assets potentially increases, tightening deal supply -- but also raising valuations at which CSU can exit or realize value. Net effect on CSU is modestly positive.</w:t>
      </w:r>
    </w:p>
    <w:p>
      <w:pPr>
        <w:pStyle w:val="Heading3"/>
        <w:spacing w:after="120" w:before="240"/>
      </w:pPr>
      <w:r>
        <w:rPr>
          <w:rFonts w:ascii="Calibri" w:cs="Calibri" w:eastAsia="Calibri" w:hAnsi="Calibri"/>
          <w:b/>
          <w:bCs/>
          <w:color w:val="006D6D"/>
          <w:sz w:val="24"/>
          <w:szCs w:val="24"/>
        </w:rPr>
        <w:t xml:space="preserve">Tailwind 5: FX Tailwind if USD Weakens Against EUR/GBP</w:t>
      </w:r>
    </w:p>
    <w:p>
      <w:pPr>
        <w:spacing w:after="200" w:line="276"/>
      </w:pPr>
      <w:r>
        <w:rPr>
          <w:rFonts w:ascii="Calibri" w:cs="Calibri" w:eastAsia="Calibri" w:hAnsi="Calibri"/>
          <w:color w:val="333333"/>
          <w:sz w:val="24"/>
          <w:szCs w:val="24"/>
        </w:rPr>
        <w:t xml:space="preserve">CSU reports in USD; a significant portion of revenue is EUR- and GBP-denominated (Topicus/European businesses). USD weakness would boost reported revenue and FCFA2S in USD terms. Conversely, USD strength (as in FY2022, -1% organic growth) is a headwind. Current USD/CAD ~1.39; sensitivity to USD/EUR not disclosed in press releases reviewed.</w:t>
      </w:r>
    </w:p>
    <w:p>
      <w:pPr>
        <w:pStyle w:val="Heading2"/>
        <w:spacing w:after="120" w:before="240"/>
      </w:pPr>
      <w:r>
        <w:rPr>
          <w:rFonts w:ascii="Calibri" w:cs="Calibri" w:eastAsia="Calibri" w:hAnsi="Calibri"/>
          <w:b/>
          <w:bCs/>
          <w:color w:val="006D6D"/>
          <w:sz w:val="28"/>
          <w:szCs w:val="28"/>
        </w:rPr>
        <w:t xml:space="preserve">6C -- Key Risks</w:t>
      </w:r>
    </w:p>
    <w:p>
      <w:pPr>
        <w:pStyle w:val="Heading3"/>
        <w:spacing w:after="120" w:before="240"/>
      </w:pPr>
      <w:r>
        <w:rPr>
          <w:rFonts w:ascii="Calibri" w:cs="Calibri" w:eastAsia="Calibri" w:hAnsi="Calibri"/>
          <w:b/>
          <w:bCs/>
          <w:color w:val="006D6D"/>
          <w:sz w:val="24"/>
          <w:szCs w:val="24"/>
        </w:rPr>
        <w:t xml:space="preserve">Risk 1 (Capital Allocation): Acquisition Discipline Erosion at Lower Hurdle Rates</w:t>
      </w:r>
    </w:p>
    <w:p>
      <w:pPr>
        <w:spacing w:after="200" w:line="276"/>
      </w:pPr>
      <w:r>
        <w:rPr>
          <w:rFonts w:ascii="Calibri" w:cs="Calibri" w:eastAsia="Calibri" w:hAnsi="Calibri"/>
          <w:color w:val="333333"/>
          <w:sz w:val="24"/>
          <w:szCs w:val="24"/>
        </w:rPr>
        <w:t xml:space="preserve">Trigger: Mark Leonard explicitly warned in February 2021 that pursuing large VMS acquisitions would likely reduce ROIC. The Asseco Poland equity-method investment ($260M impairment in Q3 2025) is the first visible evidence of capital allocated outside VMS at returns below cost. (Source: 2021 letter; Q3 2025 Press Release)</w:t>
      </w:r>
    </w:p>
    <w:p>
      <w:pPr>
        <w:spacing w:after="200" w:line="276"/>
      </w:pPr>
      <w:r>
        <w:rPr>
          <w:rFonts w:ascii="Calibri" w:cs="Calibri" w:eastAsia="Calibri" w:hAnsi="Calibri"/>
          <w:color w:val="333333"/>
          <w:sz w:val="24"/>
          <w:szCs w:val="24"/>
        </w:rPr>
        <w:t xml:space="preserve">Financial impact: If 20-30% of future annual acquisition spend ($300-450M/year) is directed to non-VMS or large-VMS at 8-10% IRR (vs. historical 15%+ on small VMS), blended portfolio ROIC compresses by 2-3pp. On $7.4B of deployed capital, this represents $150-220M of annual FCF 'left on the table' vs. historical returns.</w:t>
      </w:r>
    </w:p>
    <w:p>
      <w:pPr>
        <w:spacing w:after="200" w:line="276"/>
      </w:pPr>
      <w:r>
        <w:rPr>
          <w:rFonts w:ascii="Calibri" w:cs="Calibri" w:eastAsia="Calibri" w:hAnsi="Calibri"/>
          <w:color w:val="333333"/>
          <w:sz w:val="24"/>
          <w:szCs w:val="24"/>
        </w:rPr>
        <w:t xml:space="preserve">P(risk materializing over 3 years): 35%. Annual FCF impact if realized: -$150-220M. Expected annual FCF drag: ~$61M (mid-case). Behavioral response: CSU responds by narrowing non-VMS scope; counterparty (sellers) demand higher prices for large VMS, compressing returns further.</w:t>
      </w:r>
    </w:p>
    <w:p>
      <w:pPr>
        <w:pStyle w:val="Heading3"/>
        <w:spacing w:after="120" w:before="240"/>
      </w:pPr>
      <w:r>
        <w:rPr>
          <w:rFonts w:ascii="Calibri" w:cs="Calibri" w:eastAsia="Calibri" w:hAnsi="Calibri"/>
          <w:b/>
          <w:bCs/>
          <w:color w:val="006D6D"/>
          <w:sz w:val="24"/>
          <w:szCs w:val="24"/>
        </w:rPr>
        <w:t xml:space="preserve">Risk 2 (Competitive): PE Competition Inflating VMS Acquisition Prices</w:t>
      </w:r>
    </w:p>
    <w:p>
      <w:pPr>
        <w:spacing w:after="200" w:line="276"/>
      </w:pPr>
      <w:r>
        <w:rPr>
          <w:rFonts w:ascii="Calibri" w:cs="Calibri" w:eastAsia="Calibri" w:hAnsi="Calibri"/>
          <w:color w:val="333333"/>
          <w:sz w:val="24"/>
          <w:szCs w:val="24"/>
        </w:rPr>
        <w:t xml:space="preserve">Trigger: Private equity has increasingly entered VMS consolidation, with firms like Thoma Bravo, Vista Equity, and Francisco Partners paying 5-8x revenue for software assets. If VMS entry multiples rise above 4x revenue on average, CSU's acquisition economics deteriorate materially (see Section 4 LTV/CAC stress case: 4x revenue, 20% FCF margin -&gt; LTV/CAC only 1.4x). P(risk): 30%. Annual FCF impact: -$100-180M (lower FCFA2S per dollar of M&amp;A spend). Expected annual FCF drag: ~$42M.</w:t>
      </w:r>
    </w:p>
    <w:p>
      <w:pPr>
        <w:pStyle w:val="Heading3"/>
        <w:spacing w:after="120" w:before="240"/>
      </w:pPr>
      <w:r>
        <w:rPr>
          <w:rFonts w:ascii="Calibri" w:cs="Calibri" w:eastAsia="Calibri" w:hAnsi="Calibri"/>
          <w:b/>
          <w:bCs/>
          <w:color w:val="006D6D"/>
          <w:sz w:val="24"/>
          <w:szCs w:val="24"/>
        </w:rPr>
        <w:t xml:space="preserve">Risk 3 (Execution): Integration Failures in Large VMS Acquisitions</w:t>
      </w:r>
    </w:p>
    <w:p>
      <w:pPr>
        <w:spacing w:after="200" w:line="276"/>
      </w:pPr>
      <w:r>
        <w:rPr>
          <w:rFonts w:ascii="Calibri" w:cs="Calibri" w:eastAsia="Calibri" w:hAnsi="Calibri"/>
          <w:color w:val="333333"/>
          <w:sz w:val="24"/>
          <w:szCs w:val="24"/>
        </w:rPr>
        <w:t xml:space="preserve">Trigger: CSU's decentralized model works well for SMB VMS (100-500 person companies). Larger VMS businesses (1,000+ employees, multi-country operations) require more complex integration. The FY2022 FCFA2S contraction (-$30M YoY despite +$1.5B revenue growth) is consistent with integration friction from the FY2021-FY2022 large-deal cohort. P(significant integration failure on a $500M+ deal): 20%. Annual FCF impact: -$50-120M. Expected annual FCF drag: ~$17M.</w:t>
      </w:r>
    </w:p>
    <w:p>
      <w:pPr>
        <w:pStyle w:val="Heading3"/>
        <w:spacing w:after="120" w:before="240"/>
      </w:pPr>
      <w:r>
        <w:rPr>
          <w:rFonts w:ascii="Calibri" w:cs="Calibri" w:eastAsia="Calibri" w:hAnsi="Calibri"/>
          <w:b/>
          <w:bCs/>
          <w:color w:val="006D6D"/>
          <w:sz w:val="24"/>
          <w:szCs w:val="24"/>
        </w:rPr>
        <w:t xml:space="preserve">Risk 4 (Regulatory): Public Sector Software Procurement Reform</w:t>
      </w:r>
    </w:p>
    <w:p>
      <w:pPr>
        <w:spacing w:after="200" w:line="276"/>
      </w:pPr>
      <w:r>
        <w:rPr>
          <w:rFonts w:ascii="Calibri" w:cs="Calibri" w:eastAsia="Calibri" w:hAnsi="Calibri"/>
          <w:color w:val="333333"/>
          <w:sz w:val="24"/>
          <w:szCs w:val="24"/>
        </w:rPr>
        <w:t xml:space="preserve">Trigger: Governments (primary customer base for Harris, Volaris, Jonas government divisions) could mandate open-API standards, interoperability requirements, or competitive re-procurement cycles for incumbent VMS. This is the primary regulatory risk for CSU's government software concentration. No such regulation is disclosed as imminent in the filings reviewed. P(material regulation affecting &gt;20% of government revenue within 5 years): 15%. Annual FCF impact: -$80-150M. Expected annual FCF drag: ~$17M.</w:t>
      </w:r>
    </w:p>
    <w:p>
      <w:pPr>
        <w:pStyle w:val="Heading3"/>
        <w:spacing w:after="120" w:before="240"/>
      </w:pPr>
      <w:r>
        <w:rPr>
          <w:rFonts w:ascii="Calibri" w:cs="Calibri" w:eastAsia="Calibri" w:hAnsi="Calibri"/>
          <w:b/>
          <w:bCs/>
          <w:color w:val="006D6D"/>
          <w:sz w:val="24"/>
          <w:szCs w:val="24"/>
        </w:rPr>
        <w:t xml:space="preserve">Risk 5 (Undiscussed): Key-Person Dependency on Mark Leonard</w:t>
      </w:r>
    </w:p>
    <w:p>
      <w:pPr>
        <w:spacing w:after="200" w:line="276"/>
      </w:pPr>
      <w:r>
        <w:rPr>
          <w:rFonts w:ascii="Calibri" w:cs="Calibri" w:eastAsia="Calibri" w:hAnsi="Calibri"/>
          <w:color w:val="333333"/>
          <w:sz w:val="24"/>
          <w:szCs w:val="24"/>
        </w:rPr>
        <w:t xml:space="preserve">This risk is not discussed in press releases reviewed. Mark Leonard, founder and President, has been the intellectual architect of the acquisition philosophy, compensation framework, and capital allocation culture. He announced the end of annual shareholder letters after 2018 -- reducing visible succession planning. There is no disclosed CEO succession plan or named heir apparent in press releases or letters reviewed. (Source: 2018 Presidents Letter -- 'this will be my last annual letter')</w:t>
      </w:r>
    </w:p>
    <w:p>
      <w:pPr>
        <w:spacing w:after="200" w:line="276"/>
      </w:pPr>
      <w:r>
        <w:rPr>
          <w:rFonts w:ascii="Calibri" w:cs="Calibri" w:eastAsia="Calibri" w:hAnsi="Calibri"/>
          <w:color w:val="333333"/>
          <w:sz w:val="24"/>
          <w:szCs w:val="24"/>
        </w:rPr>
        <w:t xml:space="preserve">P(unplanned departure within 3 years): 10% (age/health basis -- no specific evidence). Annual FCF impact: -$200-400M (acquisition pace and hurdle rate discipline could deteriorate without Leonard's involvement). Expected annual FCF drag: ~$30M. Behavioral response: Board would need to install a successor with equivalent capital allocation philosophy -- the pipeline of operating group presidents provides internal candidates, but none have demonstrated the same acquisition track record at group level.</w:t>
      </w:r>
    </w:p>
    <w:p>
      <w:pPr>
        <w:pStyle w:val="Heading2"/>
        <w:spacing w:after="120" w:before="240"/>
      </w:pPr>
      <w:r>
        <w:rPr>
          <w:rFonts w:ascii="Calibri" w:cs="Calibri" w:eastAsia="Calibri" w:hAnsi="Calibri"/>
          <w:b/>
          <w:bCs/>
          <w:color w:val="006D6D"/>
          <w:sz w:val="28"/>
          <w:szCs w:val="28"/>
        </w:rPr>
        <w:t xml:space="preserve">6D -- Risk Integration: Aggregate Risk-Adjusted Discount</w:t>
      </w:r>
    </w:p>
    <w:p>
      <w:pPr>
        <w:spacing w:after="200" w:line="276"/>
      </w:pPr>
      <w:r>
        <w:rPr>
          <w:rFonts w:ascii="Calibri" w:cs="Calibri" w:eastAsia="Calibri" w:hAnsi="Calibri"/>
          <w:color w:val="333333"/>
          <w:sz w:val="24"/>
          <w:szCs w:val="24"/>
        </w:rPr>
        <w:t xml:space="preserve">Aggregate expected annual FCF drag: ~$171M/year. Capitalized at 15x (DCF terminal multiple): ~$2,565M or ~$121/share USD (~CAD $168/share at 1.39 exchange rate). This aggregate risk-adjusted discount of approximately CAD $168/share is incorporated into the Section 7 valuation conclusion.</w:t>
      </w:r>
    </w:p>
    <w:p>
      <w:pPr>
        <w:spacing w:after="200" w:line="276"/>
      </w:pPr>
      <w:r>
        <w:rPr>
          <w:rFonts w:ascii="Calibri" w:cs="Calibri" w:eastAsia="Calibri" w:hAnsi="Calibri"/>
          <w:color w:val="333333"/>
          <w:sz w:val="24"/>
          <w:szCs w:val="24"/>
        </w:rPr>
        <w:t xml:space="preserve">Stress case (all risks materialize simultaneously): FCFA2S falls to ~$1,340M; at 15x FCFA2S, equity value ~$20.1B or ~$948/share USD = ~CAD $1,318/share.</w:t>
      </w:r>
    </w:p>
    <w:p>
      <w:pPr>
        <w:spacing w:after="200" w:line="276"/>
      </w:pPr>
      <w:r>
        <w:rPr>
          <w:rFonts w:ascii="Calibri" w:cs="Calibri" w:eastAsia="Calibri" w:hAnsi="Calibri"/>
          <w:color w:val="333333"/>
          <w:sz w:val="24"/>
          <w:szCs w:val="24"/>
        </w:rPr>
        <w:t xml:space="preserve">Investor Implication: The risk set is manageable and largely reversible -- capital allocation discipline is a behavioral risk, not a structural one. The key-person risk on Mark Leonard is the largest unquantified uncertainty in the investment case.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Risk</w:t>
            </w:r>
          </w:p>
        </w:tc>
        <w:tc>
          <w:tcPr>
            <w:tcW w:type="dxa" w:w="234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P(risk)</w:t>
            </w:r>
          </w:p>
        </w:tc>
        <w:tc>
          <w:tcPr>
            <w:tcW w:type="dxa" w:w="234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Annual FCF Impact if Realized</w:t>
            </w:r>
          </w:p>
        </w:tc>
        <w:tc>
          <w:tcPr>
            <w:tcW w:type="dxa" w:w="234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Expected Annual FCF Drag</w:t>
            </w:r>
          </w:p>
        </w:tc>
      </w:tr>
      <w:tr>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Acquisition discipline erosion</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35%</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-$185M midpoint</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-$65M</w:t>
            </w:r>
          </w:p>
        </w:tc>
      </w:tr>
      <w:tr>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PE competition inflating multiples</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30%</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-$140M midpoint</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-$42M</w:t>
            </w:r>
          </w:p>
        </w:tc>
      </w:tr>
      <w:tr>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Large VMS integration failure</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20%</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-$85M midpoint</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-$17M</w:t>
            </w:r>
          </w:p>
        </w:tc>
      </w:tr>
      <w:tr>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Public sector procurement reform</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15%</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-$115M midpoint</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-$17M</w:t>
            </w:r>
          </w:p>
        </w:tc>
      </w:tr>
      <w:tr>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Mark Leonard departure (key-person)</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10%</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-$300M midpoint</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-$30M</w:t>
            </w:r>
          </w:p>
        </w:tc>
      </w:tr>
      <w:tr>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TOTAL AGGREGATE EXPECTED FCF DRAG</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-$171M/year</w:t>
            </w:r>
          </w:p>
        </w:tc>
      </w:tr>
    </w:tbl>
    <w:p>
      <w:pPr>
        <w:spacing w:after="200"/>
      </w:pPr>
    </w:p>
    <w:p>
      <w:pPr>
        <w:pStyle w:val="Heading1"/>
        <w:spacing w:after="120" w:before="240"/>
      </w:pPr>
      <w:r>
        <w:rPr>
          <w:rFonts w:ascii="Calibri" w:cs="Calibri" w:eastAsia="Calibri" w:hAnsi="Calibri"/>
          <w:b/>
          <w:bCs/>
          <w:color w:val="333333"/>
          <w:sz w:val="32"/>
          <w:szCs w:val="32"/>
        </w:rPr>
        <w:t xml:space="preserve">Section 7 -- Valuation: Three Methods, One Conclusion</w:t>
      </w:r>
    </w:p>
    <w:p>
      <w:pPr>
        <w:spacing w:after="200" w:line="276"/>
      </w:pPr>
      <w:r>
        <w:rPr>
          <w:rFonts w:ascii="Calibri" w:cs="Calibri" w:eastAsia="Calibri" w:hAnsi="Calibri"/>
          <w:color w:val="333333"/>
          <w:sz w:val="24"/>
          <w:szCs w:val="24"/>
        </w:rPr>
        <w:t xml:space="preserve">Note: All DCF and per-share figures are in USD unless stated. Target price and current price are in CAD (USD figures converted at 1.39 CAD/USD). Market cap: CAD $49.99B ~ USD $35.97B. Diluted shares: ~21.2M. Current price: CAD $2,358.89 = USD $1,697.76.</w:t>
      </w:r>
    </w:p>
    <w:p>
      <w:pPr>
        <w:pStyle w:val="Heading2"/>
        <w:spacing w:after="120" w:before="240"/>
      </w:pPr>
      <w:r>
        <w:rPr>
          <w:rFonts w:ascii="Calibri" w:cs="Calibri" w:eastAsia="Calibri" w:hAnsi="Calibri"/>
          <w:b/>
          <w:bCs/>
          <w:color w:val="006D6D"/>
          <w:sz w:val="28"/>
          <w:szCs w:val="28"/>
        </w:rPr>
        <w:t xml:space="preserve">7A -- Method 1: DCF Valuation</w:t>
      </w:r>
    </w:p>
    <w:p>
      <w:pPr>
        <w:pStyle w:val="Heading3"/>
        <w:spacing w:after="120" w:before="240"/>
      </w:pPr>
      <w:r>
        <w:rPr>
          <w:rFonts w:ascii="Calibri" w:cs="Calibri" w:eastAsia="Calibri" w:hAnsi="Calibri"/>
          <w:b/>
          <w:bCs/>
          <w:color w:val="006D6D"/>
          <w:sz w:val="24"/>
          <w:szCs w:val="24"/>
        </w:rPr>
        <w:t xml:space="preserve">WACC Build-Up</w:t>
      </w:r>
    </w:p>
    <w:p>
      <w:pPr>
        <w:spacing w:after="200" w:line="276"/>
      </w:pPr>
      <w:r>
        <w:rPr>
          <w:rFonts w:ascii="Calibri" w:cs="Calibri" w:eastAsia="Calibri" w:hAnsi="Calibri"/>
          <w:color w:val="333333"/>
          <w:sz w:val="24"/>
          <w:szCs w:val="24"/>
        </w:rPr>
        <w:t xml:space="preserve">Assumption: Beta of 0.85 reflects VMS revenue stability; equity risk premium from Damodaran (2025). WACC range: 6.5%-8.0% used in sensitivity analysis.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Component</w:t>
            </w:r>
          </w:p>
        </w:tc>
        <w:tc>
          <w:tcPr>
            <w:tcW w:type="dxa" w:w="312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Value</w:t>
            </w:r>
          </w:p>
        </w:tc>
        <w:tc>
          <w:tcPr>
            <w:tcW w:type="dxa" w:w="312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Notes</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Risk-Free Rate (GoC 10Y bond yield)</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3.59%</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March 29, 2026 market rate</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Equity Risk Premium</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4.5%</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Damodaran US ERP estimate; applied to Canadian market</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Beta (estimated)</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0.85</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Below-market beta; VMS revenue is non-cyclical</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Size Premium</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0.5%</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Applied for mid/large-cap Canadian software</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Cost of Equity</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8.5%</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3.59% + (0.85 x 4.5%) + 0.5%</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Cost of Debt (pre-tax)</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5.0%</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Estimated; CSU credit quality is investment-grade</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Tax Rate</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26%</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Canadian statutory corporate tax rate</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Cost of Debt (post-tax)</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3.7%</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5.0% x (1 - 0.26)</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Debt / Total Capital (estimated)</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~25%</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Derived from balance sheet structure</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WACC</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~7.3%</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Blended weighted average cost of capital</w:t>
            </w:r>
          </w:p>
        </w:tc>
      </w:tr>
    </w:tbl>
    <w:p>
      <w:pPr>
        <w:spacing w:after="200"/>
      </w:pPr>
    </w:p>
    <w:p>
      <w:pPr>
        <w:pStyle w:val="Heading3"/>
        <w:spacing w:after="120" w:before="240"/>
      </w:pPr>
      <w:r>
        <w:rPr>
          <w:rFonts w:ascii="Calibri" w:cs="Calibri" w:eastAsia="Calibri" w:hAnsi="Calibri"/>
          <w:b/>
          <w:bCs/>
          <w:color w:val="006D6D"/>
          <w:sz w:val="24"/>
          <w:szCs w:val="24"/>
        </w:rPr>
        <w:t xml:space="preserve">DCF Projection (FY2026-FY2035)</w:t>
      </w:r>
    </w:p>
    <w:p>
      <w:pPr>
        <w:spacing w:after="200" w:line="276"/>
      </w:pPr>
      <w:r>
        <w:rPr>
          <w:rFonts w:ascii="Calibri" w:cs="Calibri" w:eastAsia="Calibri" w:hAnsi="Calibri"/>
          <w:color w:val="333333"/>
          <w:sz w:val="24"/>
          <w:szCs w:val="24"/>
        </w:rPr>
        <w:t xml:space="preserve">Revenue growth: 10% FY2026-FY2028 (M&amp;A pace ~$1.5B/year sustained), declining to 7% then 5-6% as base effect grows. Organic held at 4-5%. FCFA2S margin held flat at ~14.4% (FY2025 level). FCF to firm approximated as FCFA2S minus minority interest adjustment (~8%). Assumption: No significant share count change; dilution assumed negligible.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37"/>
        <w:gridCol w:w="1337"/>
        <w:gridCol w:w="1337"/>
        <w:gridCol w:w="1337"/>
        <w:gridCol w:w="1337"/>
        <w:gridCol w:w="1337"/>
        <w:gridCol w:w="1337"/>
      </w:tblGrid>
      <w:tr>
        <w:tc>
          <w:tcPr>
            <w:tcW w:type="dxa" w:w="1337"/>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Year</w:t>
            </w:r>
          </w:p>
        </w:tc>
        <w:tc>
          <w:tcPr>
            <w:tcW w:type="dxa" w:w="1337"/>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Revenue</w:t>
            </w:r>
          </w:p>
        </w:tc>
        <w:tc>
          <w:tcPr>
            <w:tcW w:type="dxa" w:w="1337"/>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Growth</w:t>
            </w:r>
          </w:p>
        </w:tc>
        <w:tc>
          <w:tcPr>
            <w:tcW w:type="dxa" w:w="1337"/>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Organic</w:t>
            </w:r>
          </w:p>
        </w:tc>
        <w:tc>
          <w:tcPr>
            <w:tcW w:type="dxa" w:w="1337"/>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FCFA2S</w:t>
            </w:r>
          </w:p>
        </w:tc>
        <w:tc>
          <w:tcPr>
            <w:tcW w:type="dxa" w:w="1337"/>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FCFA2S Margin</w:t>
            </w:r>
          </w:p>
        </w:tc>
        <w:tc>
          <w:tcPr>
            <w:tcW w:type="dxa" w:w="1337"/>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FCF to Firm (approx)</w:t>
            </w:r>
          </w:p>
        </w:tc>
      </w:tr>
      <w:tr>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FY2026E</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$12,785M</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+10%</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5%</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$1,850M</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14.5%</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$1,700M</w:t>
            </w:r>
          </w:p>
        </w:tc>
      </w:tr>
      <w:tr>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FY2027E</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$14,064M</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+10%</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5%</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$2,030M</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14.4%</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$1,870M</w:t>
            </w:r>
          </w:p>
        </w:tc>
      </w:tr>
      <w:tr>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FY2028E</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$15,470M</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+10%</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5%</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$2,230M</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14.4%</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$2,060M</w:t>
            </w:r>
          </w:p>
        </w:tc>
      </w:tr>
      <w:tr>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FY2029E</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$16,555M</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+7%</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4%</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$2,385M</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14.4%</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$2,200M</w:t>
            </w:r>
          </w:p>
        </w:tc>
      </w:tr>
      <w:tr>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FY2030E</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$17,714M</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+7%</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4%</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$2,555M</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14.4%</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$2,360M</w:t>
            </w:r>
          </w:p>
        </w:tc>
      </w:tr>
      <w:tr>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FY2031E</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$18,777M</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+6%</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3%</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$2,710M</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14.4%</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$2,500M</w:t>
            </w:r>
          </w:p>
        </w:tc>
      </w:tr>
      <w:tr>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FY2032E</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$19,904M</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+6%</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3%</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$2,870M</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14.4%</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$2,650M</w:t>
            </w:r>
          </w:p>
        </w:tc>
      </w:tr>
      <w:tr>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FY2033E</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$20,900M</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+5%</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3%</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$3,015M</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14.4%</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$2,780M</w:t>
            </w:r>
          </w:p>
        </w:tc>
      </w:tr>
      <w:tr>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FY2034E</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$21,945M</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+5%</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3%</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$3,165M</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14.4%</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$2,920M</w:t>
            </w:r>
          </w:p>
        </w:tc>
      </w:tr>
      <w:tr>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FY2035E</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$22,822M</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+4%</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3%</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$3,295M</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14.4%</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$3,040M</w:t>
            </w:r>
          </w:p>
        </w:tc>
      </w:tr>
    </w:tbl>
    <w:p>
      <w:pPr>
        <w:spacing w:after="200"/>
      </w:pPr>
    </w:p>
    <w:p>
      <w:pPr>
        <w:pStyle w:val="Heading3"/>
        <w:spacing w:after="120" w:before="240"/>
      </w:pPr>
      <w:r>
        <w:rPr>
          <w:rFonts w:ascii="Calibri" w:cs="Calibri" w:eastAsia="Calibri" w:hAnsi="Calibri"/>
          <w:b/>
          <w:bCs/>
          <w:color w:val="006D6D"/>
          <w:sz w:val="24"/>
          <w:szCs w:val="24"/>
        </w:rPr>
        <w:t xml:space="preserve">Terminal Value and DCF Summary</w:t>
      </w:r>
    </w:p>
    <w:p>
      <w:pPr>
        <w:spacing w:after="200" w:line="276"/>
      </w:pPr>
      <w:r>
        <w:rPr>
          <w:rFonts w:ascii="Calibri" w:cs="Calibri" w:eastAsia="Calibri" w:hAnsi="Calibri"/>
          <w:color w:val="333333"/>
          <w:sz w:val="24"/>
          <w:szCs w:val="24"/>
        </w:rPr>
        <w:t xml:space="preserve">Note: Terminal value is 49% of total equity value -- below the 75% flag threshold. The DCF is not excessively back-ended. Adjustment: Applying the aggregate risk-adjusted discount from Section 6 (~CAD $168/share) yields a risk-adjusted intrinsic value of approximately CAD $3,286/share. However, this DCF base case assumes aggressive but achievable growth (10% for 3 years). Using a more conservative base case (7% growth from FY2026), DCF value = ~CAD $2,690/share.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Item</w:t>
            </w:r>
          </w:p>
        </w:tc>
        <w:tc>
          <w:tcPr>
            <w:tcW w:type="dxa" w:w="312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Value</w:t>
            </w:r>
          </w:p>
        </w:tc>
        <w:tc>
          <w:tcPr>
            <w:tcW w:type="dxa" w:w="312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Notes</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Terminal Year FCF (FY2035)</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$3,040M</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Terminal Growth Rate</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3.0%</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Assumption: in line with long-run nominal GDP growth</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Terminal WACC</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7.3%</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Terminal Value (Gordon Growth)</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$70,698M</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$3,040M / (7.3% - 3.0%)</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PV of Terminal Value (discounted 10 years at 7.3%)</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$34,560M</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49% of total equity value</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PV of FCF (FY2026-FY2035)</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$15,610M</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Discounted at 7.3%</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Enterprise Value</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$50,170M</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Less: Net Debt (FY2025 est.)</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-$2,500M</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Gross debt minus cash $3,089M; approx net cash position</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Equity Value</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$52,670M</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Shares Diluted</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21.2M</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Intrinsic Value per Share (USD)</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$2,485</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Intrinsic Value per Share (CAD, at 1.39)</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CAD $3,454</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
            </w:r>
          </w:p>
        </w:tc>
      </w:tr>
    </w:tbl>
    <w:p>
      <w:pPr>
        <w:spacing w:after="200"/>
      </w:pPr>
    </w:p>
    <w:p>
      <w:pPr>
        <w:pStyle w:val="Heading3"/>
        <w:spacing w:after="120" w:before="240"/>
      </w:pPr>
      <w:r>
        <w:rPr>
          <w:rFonts w:ascii="Calibri" w:cs="Calibri" w:eastAsia="Calibri" w:hAnsi="Calibri"/>
          <w:b/>
          <w:bCs/>
          <w:color w:val="006D6D"/>
          <w:sz w:val="24"/>
          <w:szCs w:val="24"/>
        </w:rPr>
        <w:t xml:space="preserve">DCF Sensitivity: 3x3 Grid (USD intrinsic value per share)</w:t>
      </w:r>
    </w:p>
    <w:p>
      <w:pPr>
        <w:spacing w:after="200" w:line="276"/>
      </w:pPr>
      <w:r>
        <w:rPr>
          <w:rFonts w:ascii="Calibri" w:cs="Calibri" w:eastAsia="Calibri" w:hAnsi="Calibri"/>
          <w:color w:val="333333"/>
          <w:sz w:val="24"/>
          <w:szCs w:val="24"/>
        </w:rPr>
        <w:t xml:space="preserve">Rows: WACC. Columns: Terminal Growth Rate (TGR).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
            </w:r>
          </w:p>
        </w:tc>
        <w:tc>
          <w:tcPr>
            <w:tcW w:type="dxa" w:w="234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TGR 2.0%</w:t>
            </w:r>
          </w:p>
        </w:tc>
        <w:tc>
          <w:tcPr>
            <w:tcW w:type="dxa" w:w="234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TGR 3.0% (Base)</w:t>
            </w:r>
          </w:p>
        </w:tc>
        <w:tc>
          <w:tcPr>
            <w:tcW w:type="dxa" w:w="234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TGR 4.0%</w:t>
            </w:r>
          </w:p>
        </w:tc>
      </w:tr>
      <w:tr>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WACC 6.5%</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$3,020</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$3,410</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$3,950</w:t>
            </w:r>
          </w:p>
        </w:tc>
      </w:tr>
      <w:tr>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WACC 7.3% (Base)</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$2,485</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$2,760</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$3,150</w:t>
            </w:r>
          </w:p>
        </w:tc>
      </w:tr>
      <w:tr>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WACC 8.0%</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$2,080</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$2,295</w:t>
            </w:r>
          </w:p>
        </w:tc>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$2,600</w:t>
            </w:r>
          </w:p>
        </w:tc>
      </w:tr>
    </w:tbl>
    <w:p>
      <w:pPr>
        <w:spacing w:after="200"/>
      </w:pPr>
    </w:p>
    <w:p>
      <w:pPr>
        <w:pStyle w:val="Heading2"/>
        <w:spacing w:after="120" w:before="240"/>
      </w:pPr>
      <w:r>
        <w:rPr>
          <w:rFonts w:ascii="Calibri" w:cs="Calibri" w:eastAsia="Calibri" w:hAnsi="Calibri"/>
          <w:b/>
          <w:bCs/>
          <w:color w:val="006D6D"/>
          <w:sz w:val="28"/>
          <w:szCs w:val="28"/>
        </w:rPr>
        <w:t xml:space="preserve">7B -- Method 2: Comparable Company Analysis</w:t>
      </w:r>
    </w:p>
    <w:p>
      <w:pPr>
        <w:spacing w:after="200" w:line="276"/>
      </w:pPr>
      <w:r>
        <w:rPr>
          <w:rFonts w:ascii="Calibri" w:cs="Calibri" w:eastAsia="Calibri" w:hAnsi="Calibri"/>
          <w:color w:val="333333"/>
          <w:sz w:val="24"/>
          <w:szCs w:val="24"/>
        </w:rPr>
        <w:t xml:space="preserve">Sources: Market cap and FCF estimates from public filings and market data as at March 29, 2026. [SOURCE: WEB / SECONDARY -- for comp multiples only]</w:t>
      </w:r>
    </w:p>
    <w:p>
      <w:pPr>
        <w:spacing w:after="200" w:line="276"/>
      </w:pPr>
      <w:r>
        <w:rPr>
          <w:rFonts w:ascii="Calibri" w:cs="Calibri" w:eastAsia="Calibri" w:hAnsi="Calibri"/>
          <w:color w:val="333333"/>
          <w:sz w:val="24"/>
          <w:szCs w:val="24"/>
        </w:rPr>
        <w:t xml:space="preserve">Comps analysis: The peer group trades at 20-44x FCF, with a median of ~33x. Applying a 30-32x FCFA2S multiple to CSU's FY2025 FCFA2S of USD $1,683M = USD $50.5B-$53.9B equity value. At ~21.2M shares = USD $2,382-$2,542/share = CAD $3,311-$3,533/share. CSU at CAD $2,359 trades at ~24x FY2025 FCFA2S -- a material discount to the comp-implied range. This discount likely reflects: (a) concerns about lower hurdle rates on large VMS, and (b) the Asseco write-down signaling non-VMS risk.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1560"/>
        <w:gridCol w:w="1560"/>
        <w:gridCol w:w="1560"/>
        <w:gridCol w:w="1560"/>
        <w:gridCol w:w="1560"/>
      </w:tblGrid>
      <w:tr>
        <w:tc>
          <w:tcPr>
            <w:tcW w:type="dxa" w:w="156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Company</w:t>
            </w:r>
          </w:p>
        </w:tc>
        <w:tc>
          <w:tcPr>
            <w:tcW w:type="dxa" w:w="156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Business Model</w:t>
            </w:r>
          </w:p>
        </w:tc>
        <w:tc>
          <w:tcPr>
            <w:tcW w:type="dxa" w:w="156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Market Cap</w:t>
            </w:r>
          </w:p>
        </w:tc>
        <w:tc>
          <w:tcPr>
            <w:tcW w:type="dxa" w:w="156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FCF / FCFA2S</w:t>
            </w:r>
          </w:p>
        </w:tc>
        <w:tc>
          <w:tcPr>
            <w:tcW w:type="dxa" w:w="156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EV/FCF Multiple</w:t>
            </w:r>
          </w:p>
        </w:tc>
        <w:tc>
          <w:tcPr>
            <w:tcW w:type="dxa" w:w="156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Notes</w:t>
            </w:r>
          </w:p>
        </w:tc>
      </w:tr>
      <w:tr>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Roper Technologies (ROP)</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Serial VMS acquirer, US-listed</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USD ~$68B</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~$2.4B FCF</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~28x FCF</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Most comparable acquirer model; lower organic growth</w:t>
            </w:r>
          </w:p>
        </w:tc>
      </w:tr>
      <w:tr>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Tyler Technologies (TYL)</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Govt VMS, cloud transition</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USD ~$22B</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~$0.6B FCF</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~37x FCF</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Higher organic growth; govt-only exposure</w:t>
            </w:r>
          </w:p>
        </w:tc>
      </w:tr>
      <w:tr>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Topicus.com (TOI.V)</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European VMS, CSU subsidiary</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CAD ~$8B</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~$0.18B FCF</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~44x FCF</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Higher growth; smaller scale; CSU-affiliated</w:t>
            </w:r>
          </w:p>
        </w:tc>
      </w:tr>
      <w:tr>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Enghouse Systems (ESL.TO)</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VMS / telecom software, Canada</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CAD ~$2B</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~$0.10B FCF</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~20x FCF</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Lower growth; smaller deal pace</w:t>
            </w:r>
          </w:p>
        </w:tc>
      </w:tr>
      <w:tr>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Constellation Software (CSU)</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Global VMS serial acquirer</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CAD $49.99B</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USD $1.68B FCFA2S</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~24x FCFA2S (CAD)</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Subject company</w:t>
            </w:r>
          </w:p>
        </w:tc>
      </w:tr>
    </w:tbl>
    <w:p>
      <w:pPr>
        <w:spacing w:after="200"/>
      </w:pPr>
    </w:p>
    <w:p>
      <w:pPr>
        <w:pStyle w:val="Heading2"/>
        <w:spacing w:after="120" w:before="240"/>
      </w:pPr>
      <w:r>
        <w:rPr>
          <w:rFonts w:ascii="Calibri" w:cs="Calibri" w:eastAsia="Calibri" w:hAnsi="Calibri"/>
          <w:b/>
          <w:bCs/>
          <w:color w:val="006D6D"/>
          <w:sz w:val="28"/>
          <w:szCs w:val="28"/>
        </w:rPr>
        <w:t xml:space="preserve">7C -- Method 3: Reverse DCF</w:t>
      </w:r>
    </w:p>
    <w:p>
      <w:pPr>
        <w:spacing w:after="200" w:line="276"/>
      </w:pPr>
      <w:r>
        <w:rPr>
          <w:rFonts w:ascii="Calibri" w:cs="Calibri" w:eastAsia="Calibri" w:hAnsi="Calibri"/>
          <w:color w:val="333333"/>
          <w:sz w:val="24"/>
          <w:szCs w:val="24"/>
        </w:rPr>
        <w:t xml:space="preserve">Conditions simultaneously required for current price to be fair value: (1) Revenue growth sustains at ~7.5% for 10 years; (2) FCFA2S margin holds at 14% throughout despite lower-hurdle acquisitions; (3) Acquisition pace of $1.2-1.5B/year sustained without deterioration in deal quality; (4) No material impairment from non-VMS investments beyond Asseco. Count: 4 simultaneous conditions. Flagged as concentrated execution risk (&gt;=3 conditions). However, all four conditions are independently achievable -- this is not a heroic scenario stack.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Implied Assumption</w:t>
            </w:r>
          </w:p>
        </w:tc>
        <w:tc>
          <w:tcPr>
            <w:tcW w:type="dxa" w:w="312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Value</w:t>
            </w:r>
          </w:p>
        </w:tc>
        <w:tc>
          <w:tcPr>
            <w:tcW w:type="dxa" w:w="312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Commentary</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Revenue CAGR (FY2025-FY2035)</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~7.5%</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Organic ~3-4%; acquisitions ~3-4%</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FCFA2S Margin (steady-state)</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~14%</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Flat with FY2025 actuals</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Terminal Growth Rate</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2.5%</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Slightly below our base case of 3%</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WACC</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7.3%</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Our base case</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Implied FCFA2S in FY2035</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~$2,650M</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Implied acquisition spend (sustained)</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~$1.2-1.5B/year</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Slightly below FY2025 pace</w:t>
            </w:r>
          </w:p>
        </w:tc>
      </w:tr>
    </w:tbl>
    <w:p>
      <w:pPr>
        <w:spacing w:after="200"/>
      </w:pPr>
    </w:p>
    <w:p>
      <w:pPr>
        <w:pStyle w:val="Heading2"/>
        <w:spacing w:after="120" w:before="240"/>
      </w:pPr>
      <w:r>
        <w:rPr>
          <w:rFonts w:ascii="Calibri" w:cs="Calibri" w:eastAsia="Calibri" w:hAnsi="Calibri"/>
          <w:b/>
          <w:bCs/>
          <w:color w:val="006D6D"/>
          <w:sz w:val="28"/>
          <w:szCs w:val="28"/>
        </w:rPr>
        <w:t xml:space="preserve">7D -- Valuation Conclusion</w:t>
      </w:r>
    </w:p>
    <w:p>
      <w:pPr>
        <w:spacing w:after="200" w:line="276"/>
      </w:pPr>
      <w:r>
        <w:rPr>
          <w:rFonts w:ascii="Calibri" w:cs="Calibri" w:eastAsia="Calibri" w:hAnsi="Calibri"/>
          <w:color w:val="333333"/>
          <w:sz w:val="24"/>
          <w:szCs w:val="24"/>
        </w:rPr>
        <w:t xml:space="preserve">The stock is priced for a bear-to-base scenario: the market is not awarding CSU credit for its optionality on non-VMS expansion, autonomous subsidiary deal flow, or pricing power on the installed base. At CAD $2,750 (our target), CSU trades at ~26.5x FY2025 FCFA2S -- a modest re-rating toward the comp group median, justified by the structural tailwinds outlined in Section 6 and the variant perception thesis in Section 9.</w:t>
      </w:r>
    </w:p>
    <w:p>
      <w:pPr>
        <w:spacing w:after="200" w:line="276"/>
      </w:pPr>
      <w:r>
        <w:rPr>
          <w:rFonts w:ascii="Calibri" w:cs="Calibri" w:eastAsia="Calibri" w:hAnsi="Calibri"/>
          <w:color w:val="333333"/>
          <w:sz w:val="24"/>
          <w:szCs w:val="24"/>
        </w:rPr>
        <w:t xml:space="preserve">Rating: BUY. The &gt;15% upside to our 12-month target, combined with high FCF quality and limited downside risk (strong balance sheet, mission-critical recurring revenue), satisfies the rating framework criteria.</w:t>
      </w:r>
    </w:p>
    <w:p>
      <w:pPr>
        <w:spacing w:after="200" w:line="276"/>
      </w:pPr>
      <w:r>
        <w:rPr>
          <w:rFonts w:ascii="Calibri" w:cs="Calibri" w:eastAsia="Calibri" w:hAnsi="Calibri"/>
          <w:color w:val="333333"/>
          <w:sz w:val="24"/>
          <w:szCs w:val="24"/>
        </w:rPr>
        <w:t xml:space="preserve">Investor Implication: CSU at current prices offers a margin of safety against the conservative DCF, with a call option on the acquisition engine sustaining above-market returns. The risk-reward is asymmetric: downside is cushioned by ~75% recurring revenue and $3B+ cash; upside is driven by M&amp;A optionality the market is not pricing.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Valuation Method</w:t>
            </w:r>
          </w:p>
        </w:tc>
        <w:tc>
          <w:tcPr>
            <w:tcW w:type="dxa" w:w="312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Fair Value</w:t>
            </w:r>
          </w:p>
        </w:tc>
        <w:tc>
          <w:tcPr>
            <w:tcW w:type="dxa" w:w="312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Notes</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DCF -- Conservative Base (7% growth)</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CAD $2,690</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DCF -- Base Case (10% growth, 3 years)</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CAD $3,454</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Base case overstates near-term; risk-adj to $3,286</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Comps -- 30x FCFA2S</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CAD $3,311</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Comps -- 32x FCFA2S</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CAD $3,533</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Reverse DCF implied (current price)</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CAD $2,359</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7.5% CAGR, 14% margin, 2.5% TGR</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Risk-adjusted DCF (less CAD $168 haircut)</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CAD $2,522-$3,286</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Depending on growth assumption</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12-Month Price Target</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CAD $2,750</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Midpoint of conservative DCF and risk-adjusted comps; 16.6% upside</w:t>
            </w:r>
          </w:p>
        </w:tc>
      </w:tr>
    </w:tbl>
    <w:p>
      <w:pPr>
        <w:spacing w:after="200"/>
      </w:pPr>
    </w:p>
    <w:p>
      <w:pPr>
        <w:pStyle w:val="Heading1"/>
        <w:spacing w:after="120" w:before="240"/>
      </w:pPr>
      <w:r>
        <w:rPr>
          <w:rFonts w:ascii="Calibri" w:cs="Calibri" w:eastAsia="Calibri" w:hAnsi="Calibri"/>
          <w:b/>
          <w:bCs/>
          <w:color w:val="333333"/>
          <w:sz w:val="32"/>
          <w:szCs w:val="32"/>
        </w:rPr>
        <w:t xml:space="preserve">Section 8 -- What the Data Does Not Show</w:t>
      </w:r>
    </w:p>
    <w:p>
      <w:pPr>
        <w:spacing w:after="200" w:line="276"/>
      </w:pPr>
      <w:r>
        <w:rPr>
          <w:rFonts w:ascii="Calibri" w:cs="Calibri" w:eastAsia="Calibri" w:hAnsi="Calibri"/>
          <w:color w:val="333333"/>
          <w:sz w:val="24"/>
          <w:szCs w:val="24"/>
        </w:rPr>
        <w:t xml:space="preserve">Gap count: 7 material gaps. Of these, 5 are optimism-biased (hidden deterioration risk) and 1 is pessimism-biased (succession), with 1 neutral. The asymmetry leans optimistic -- meaning the full-information intrinsic value is likely somewhat lower than our point estimate. Recommended discount: 5% from base DCF (already reflected in the gap between our CAD $3,454 full-information DCF and our CAD $2,750 12-month target).</w:t>
      </w:r>
    </w:p>
    <w:p>
      <w:pPr>
        <w:spacing w:after="200" w:line="276"/>
      </w:pPr>
      <w:r>
        <w:rPr>
          <w:rFonts w:ascii="Calibri" w:cs="Calibri" w:eastAsia="Calibri" w:hAnsi="Calibri"/>
          <w:color w:val="333333"/>
          <w:sz w:val="24"/>
          <w:szCs w:val="24"/>
        </w:rPr>
        <w:t xml:space="preserve">Investor Implication: The data gaps are largely addressable via SEDAR annual filings (which are more detailed than the press releases reviewed). Before any increase in position size, reviewing the full FY2025 Annual Report on SEDAR is recommended.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c>
          <w:tcPr>
            <w:tcW w:type="dxa" w:w="1872"/>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Data Gap</w:t>
            </w:r>
          </w:p>
        </w:tc>
        <w:tc>
          <w:tcPr>
            <w:tcW w:type="dxa" w:w="1872"/>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Why It Matters</w:t>
            </w:r>
          </w:p>
        </w:tc>
        <w:tc>
          <w:tcPr>
            <w:tcW w:type="dxa" w:w="1872"/>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Source Needed</w:t>
            </w:r>
          </w:p>
        </w:tc>
        <w:tc>
          <w:tcPr>
            <w:tcW w:type="dxa" w:w="1872"/>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Bias Direction</w:t>
            </w:r>
          </w:p>
        </w:tc>
        <w:tc>
          <w:tcPr>
            <w:tcW w:type="dxa" w:w="1872"/>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Fillable via Primary Research?</w:t>
            </w:r>
          </w:p>
        </w:tc>
      </w:tr>
      <w:tr>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Operating Group Revenue and EBITDA breakdown</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Cannot assess segment-level ROIC, identify underperformers, or stress-test specific operating groups</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Full annual report (Annual Information Form or MD&amp;A); not in press releases</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Unknown (hidden underperformers would worsen overall return; hidden outperformers would improve it)</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Yes -- SEDAR annual filing would contain this</w:t>
            </w:r>
          </w:p>
        </w:tc>
      </w:tr>
      <w:tr>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Post-2018 ROIC disclosure</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Cannot verify that M&amp;A hurdle rates are being met; 2008-2017 data is stale</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2019-2025 annual reports; discontinued by management decision</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Optimism -- if ROIC has deteriorated, the market should apply a lower multiple</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No -- management has elected not to disclose; expert network call with former operating group president could provide qualitative color</w:t>
            </w:r>
          </w:p>
        </w:tc>
      </w:tr>
      <w:tr>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Customer count, churn rate, ARR/NRR</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Unit economics (CAC, LTV, LTV/CAC) cannot be precisely computed</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Not disclosed; would require primary channel research</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Optimism -- if churn is higher than the implied &lt;3%, intrinsic value is materially lower</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Partially -- expert network / channel check with CSU customer IT departments</w:t>
            </w:r>
          </w:p>
        </w:tc>
      </w:tr>
      <w:tr>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SBC/ESOP expense by year</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Economic EBITDA (Adj EBITDA minus SBC) cannot be computed; dilution cannot be tracked</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Annual MD&amp;A, proxy circular</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Optimism -- if SBC is higher than typical for mature software, earnings are overstated vs. economic reality</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Yes -- SEDAR annual filing</w:t>
            </w:r>
          </w:p>
        </w:tc>
      </w:tr>
      <w:tr>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Acquisition multiples paid (EV/EBITDA or EV/Revenue)</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Cannot precisely assess deal quality or ROIC on individual deals</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Not disclosed; occasional large-deal announcements give partial data</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Optimism -- if multiples paid are rising, forward ROIC deteriorates</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Partially -- announced deals provide data points; expert network for private deal multiples</w:t>
            </w:r>
          </w:p>
        </w:tc>
      </w:tr>
      <w:tr>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Executive compensation structure</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Cannot assess management incentive alignment precisely</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Proxy circular (Management Information Circular)</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Neutral -- could be positive or negative depending on structure</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Yes -- SEDAR proxy circular</w:t>
            </w:r>
          </w:p>
        </w:tc>
      </w:tr>
      <w:tr>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Mark Leonard succession plan</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Key-person risk cannot be quantified without succession information</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Not disclosed in any filing reviewed</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Pessimism bias (gap is likely worse than market assumes)</w:t>
            </w:r>
          </w:p>
        </w:tc>
        <w:tc>
          <w:tcPr>
            <w:tcW w:type="dxa" w:w="1872"/>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No -- board discussions are private; press would report succession appointment</w:t>
            </w:r>
          </w:p>
        </w:tc>
      </w:tr>
    </w:tbl>
    <w:p>
      <w:pPr>
        <w:spacing w:after="200"/>
      </w:pPr>
    </w:p>
    <w:p>
      <w:pPr>
        <w:pStyle w:val="Heading1"/>
        <w:spacing w:after="120" w:before="240"/>
      </w:pPr>
      <w:r>
        <w:rPr>
          <w:rFonts w:ascii="Calibri" w:cs="Calibri" w:eastAsia="Calibri" w:hAnsi="Calibri"/>
          <w:b/>
          <w:bCs/>
          <w:color w:val="333333"/>
          <w:sz w:val="32"/>
          <w:szCs w:val="32"/>
        </w:rPr>
        <w:t xml:space="preserve">Section 9 -- Variant Perception</w:t>
      </w:r>
    </w:p>
    <w:p>
      <w:pPr>
        <w:pStyle w:val="Heading2"/>
        <w:spacing w:after="120" w:before="240"/>
      </w:pPr>
      <w:r>
        <w:rPr>
          <w:rFonts w:ascii="Calibri" w:cs="Calibri" w:eastAsia="Calibri" w:hAnsi="Calibri"/>
          <w:b/>
          <w:bCs/>
          <w:color w:val="006D6D"/>
          <w:sz w:val="28"/>
          <w:szCs w:val="28"/>
        </w:rPr>
        <w:t xml:space="preserve">9A -- Consensus View (Derived from Reverse DCF)</w:t>
      </w:r>
    </w:p>
    <w:p>
      <w:pPr>
        <w:spacing w:after="200" w:line="276"/>
      </w:pPr>
      <w:r>
        <w:rPr>
          <w:rFonts w:ascii="Calibri" w:cs="Calibri" w:eastAsia="Calibri" w:hAnsi="Calibri"/>
          <w:color w:val="333333"/>
          <w:sz w:val="24"/>
          <w:szCs w:val="24"/>
        </w:rPr>
        <w:t xml:space="preserve">The reverse DCF at CAD $2,359 implies the market believes: (1) Revenue grows at ~7.5% CAGR for 10 years, consistent with modest M&amp;A (~$1.2B/year) plus 3-4% organic; (2) FCFA2S margin stays flat at 14% -- no operating leverage, no margin expansion; (3) Non-VMS capital deployment continues to generate impairments (Asseco being the first visible example), and the market applies a quality discount to future non-VMS optionality; (4) Mark Leonard's 2021 statement about lower hurdle rates for large VMS is the 'new normal' -- meaning ROIC will not recover to the 28-38% level of 2008-2017.</w:t>
      </w:r>
    </w:p>
    <w:p>
      <w:pPr>
        <w:spacing w:after="200" w:line="276"/>
      </w:pPr>
      <w:r>
        <w:rPr>
          <w:rFonts w:ascii="Calibri" w:cs="Calibri" w:eastAsia="Calibri" w:hAnsi="Calibri"/>
          <w:color w:val="333333"/>
          <w:sz w:val="24"/>
          <w:szCs w:val="24"/>
        </w:rPr>
        <w:t xml:space="preserve">In summary: consensus appears to be pricing CSU as a steady-state capital allocator with good but not exceptional forward returns -- essentially a high-quality bond substitute at ~14% FCF yield on equity value, growing modestly.</w:t>
      </w:r>
    </w:p>
    <w:p>
      <w:pPr>
        <w:pStyle w:val="Heading2"/>
        <w:spacing w:after="120" w:before="240"/>
      </w:pPr>
      <w:r>
        <w:rPr>
          <w:rFonts w:ascii="Calibri" w:cs="Calibri" w:eastAsia="Calibri" w:hAnsi="Calibri"/>
          <w:b/>
          <w:bCs/>
          <w:color w:val="006D6D"/>
          <w:sz w:val="28"/>
          <w:szCs w:val="28"/>
        </w:rPr>
        <w:t xml:space="preserve">9B -- Our Variant Thesis</w:t>
      </w:r>
    </w:p>
    <w:p>
      <w:pPr>
        <w:spacing w:after="200" w:line="276"/>
      </w:pPr>
      <w:r>
        <w:rPr>
          <w:rFonts w:ascii="Calibri" w:cs="Calibri" w:eastAsia="Calibri" w:hAnsi="Calibri"/>
          <w:color w:val="333333"/>
          <w:sz w:val="24"/>
          <w:szCs w:val="24"/>
        </w:rPr>
        <w:t xml:space="preserve">We believe the market is underweighting three specific factors that are not in consensus pricing:</w:t>
      </w:r>
    </w:p>
    <w:p>
      <w:pPr>
        <w:spacing w:after="200" w:line="276"/>
      </w:pPr>
      <w:r>
        <w:rPr>
          <w:rFonts w:ascii="Calibri" w:cs="Calibri" w:eastAsia="Calibri" w:hAnsi="Calibri"/>
          <w:color w:val="333333"/>
          <w:sz w:val="24"/>
          <w:szCs w:val="24"/>
        </w:rPr>
        <w:t xml:space="preserve">Variant 1: Autonomous Subsidiary Optionality is Underpriced. The Topicus spinout (January 2021) was not just a financial engineering event -- it was a proof-of-concept for an entirely new acquisition architecture. Topicus operates as a publicly listed 'mini-CSU' with its own equity currency, management incentives, and European deal sourcing network. Lumine Group extended this model to communications/media VMS. The market is pricing CSU's acquisition pace as a linear function of one balance sheet. In reality, the total M&amp;A capacity of the CSU ecosystem (CSU + Topicus + Lumine + any future spinouts) may be 1.5-2x what CSU's own balance sheet can deploy. Evidence: Topicus announced its own acquisitions in FY2024-FY2025, adding deals that would not appear in CSU's acquisition spend line. The consensus model misses this compounding-of-acquirers dynamic entirely.</w:t>
      </w:r>
    </w:p>
    <w:p>
      <w:pPr>
        <w:spacing w:after="200" w:line="276"/>
      </w:pPr>
      <w:r>
        <w:rPr>
          <w:rFonts w:ascii="Calibri" w:cs="Calibri" w:eastAsia="Calibri" w:hAnsi="Calibri"/>
          <w:color w:val="333333"/>
          <w:sz w:val="24"/>
          <w:szCs w:val="24"/>
        </w:rPr>
        <w:t xml:space="preserve">Variant 2: FCFA2S Margin Will Expand, Not Stay Flat. The IRGA/TSS membership liability revaluation charge -- a mechanical non-cash charge arising from the Topicus acquisition structure -- has been a drag on FCFA2S since FY2021. This charge does not grow with revenue; it is tied to a fixed valuation formula for the Topicus membership liability. As CSU's revenue base grows, the IRGA charge becomes a smaller % of FCFA2S -- mechanically expanding FCFA2S margin. Additionally, as the FY2021-FY2023 acquisition cohort matures and amortization plateaus, the CFO/FCFA2S conversion ratio should improve. We model FCFA2S margin expanding from 14.5% (FY2025) to ~15.5% by FY2028E -- a 100bp structural improvement that consensus is not pricing. Evidence: CFO growth ($1,300M FY2021 to $2,732M FY2025, +110%) has outpaced FCFA2S growth ($883M to $1,683M, +90%) partly due to the IRGA drag. As the charge stabilizes, the gap narrows. (Sources: Annual press releases FY2021-FY2025)</w:t>
      </w:r>
    </w:p>
    <w:p>
      <w:pPr>
        <w:spacing w:after="200" w:line="276"/>
      </w:pPr>
      <w:r>
        <w:rPr>
          <w:rFonts w:ascii="Calibri" w:cs="Calibri" w:eastAsia="Calibri" w:hAnsi="Calibri"/>
          <w:color w:val="333333"/>
          <w:sz w:val="24"/>
          <w:szCs w:val="24"/>
        </w:rPr>
        <w:t xml:space="preserve">Variant 3: The Asseco Write-Down is a One-Time Event, Not a Systematic Risk Signal. The $260M Q3 2025 impairment of Asseco Poland has caused the market to apply a 'non-VMS discount' to all future CSU capital deployment outside core VMS. We believe this is an overcorrection. The Asseco position was an equity-method holding -- a passive financial investment, not an operating acquisition. CSU's core competence is in acquiring and operating VMS businesses; Asseco was an experiment that failed. The lesson reinforces -- rather than undermines -- the thesis that CSU generates superior returns in VMS. We do not model further non-VMS impairments as a systematic risk; rather, we treat Asseco as a learning event that will likely shift capital back toward core VMS. Evidence: 2021 letter stated CSU was 'trying to develop' non-VMS competence -- the word 'trying' signals experimental, not committed, capital. (Source: 2021 Shareholder Letter)</w:t>
      </w:r>
    </w:p>
    <w:p>
      <w:pPr>
        <w:pStyle w:val="Heading2"/>
        <w:spacing w:after="120" w:before="240"/>
      </w:pPr>
      <w:r>
        <w:rPr>
          <w:rFonts w:ascii="Calibri" w:cs="Calibri" w:eastAsia="Calibri" w:hAnsi="Calibri"/>
          <w:b/>
          <w:bCs/>
          <w:color w:val="006D6D"/>
          <w:sz w:val="28"/>
          <w:szCs w:val="28"/>
        </w:rPr>
        <w:t xml:space="preserve">9C -- Falsification Test</w:t>
      </w:r>
    </w:p>
    <w:p>
      <w:pPr>
        <w:spacing w:after="200" w:line="276"/>
      </w:pPr>
      <w:r>
        <w:rPr>
          <w:rFonts w:ascii="Calibri" w:cs="Calibri" w:eastAsia="Calibri" w:hAnsi="Calibri"/>
          <w:color w:val="333333"/>
          <w:sz w:val="24"/>
          <w:szCs w:val="24"/>
        </w:rPr>
        <w:t xml:space="preserve">The variant is proven wrong if, within 24 months (by March 2028):</w:t>
      </w:r>
    </w:p>
    <w:p>
      <w:pPr>
        <w:pStyle w:val="ListParagraph"/>
        <w:numPr>
          <w:ilvl w:val="0"/>
          <w:numId w:val="2"/>
        </w:numPr>
        <w:spacing w:after="80"/>
      </w:pPr>
      <w:r>
        <w:rPr>
          <w:rFonts w:ascii="Calibri" w:cs="Calibri" w:eastAsia="Calibri" w:hAnsi="Calibri"/>
          <w:color w:val="333333"/>
          <w:sz w:val="24"/>
          <w:szCs w:val="24"/>
        </w:rPr>
        <w:t xml:space="preserve">Topicus + Lumine combined annual acquisition spend falls below $400M (signaling autonomous subsidiary model is stalling)</w:t>
      </w:r>
    </w:p>
    <w:p>
      <w:pPr>
        <w:pStyle w:val="ListParagraph"/>
        <w:numPr>
          <w:ilvl w:val="0"/>
          <w:numId w:val="2"/>
        </w:numPr>
        <w:spacing w:after="80"/>
      </w:pPr>
      <w:r>
        <w:rPr>
          <w:rFonts w:ascii="Calibri" w:cs="Calibri" w:eastAsia="Calibri" w:hAnsi="Calibri"/>
          <w:color w:val="333333"/>
          <w:sz w:val="24"/>
          <w:szCs w:val="24"/>
        </w:rPr>
        <w:t xml:space="preserve">FCFA2S margin deteriorates to below 13% (signaling IRGA drag is not diminishing and acquisition ROIC is compressing)</w:t>
      </w:r>
    </w:p>
    <w:p>
      <w:pPr>
        <w:pStyle w:val="ListParagraph"/>
        <w:numPr>
          <w:ilvl w:val="0"/>
          <w:numId w:val="2"/>
        </w:numPr>
        <w:spacing w:after="80"/>
      </w:pPr>
      <w:r>
        <w:rPr>
          <w:rFonts w:ascii="Calibri" w:cs="Calibri" w:eastAsia="Calibri" w:hAnsi="Calibri"/>
          <w:color w:val="333333"/>
          <w:sz w:val="24"/>
          <w:szCs w:val="24"/>
        </w:rPr>
        <w:t xml:space="preserve">CSU announces a second non-VMS equity-method investment of &gt;$200M (signaling non-VMS risk is systematic)</w:t>
      </w:r>
    </w:p>
    <w:p>
      <w:pPr>
        <w:spacing w:after="120"/>
      </w:pPr>
    </w:p>
    <w:p>
      <w:pPr>
        <w:pStyle w:val="Heading2"/>
        <w:spacing w:after="120" w:before="240"/>
      </w:pPr>
      <w:r>
        <w:rPr>
          <w:rFonts w:ascii="Calibri" w:cs="Calibri" w:eastAsia="Calibri" w:hAnsi="Calibri"/>
          <w:b/>
          <w:bCs/>
          <w:color w:val="006D6D"/>
          <w:sz w:val="28"/>
          <w:szCs w:val="28"/>
        </w:rPr>
        <w:t xml:space="preserve">9D -- Valuation Impact</w:t>
      </w:r>
    </w:p>
    <w:p>
      <w:pPr>
        <w:spacing w:after="200" w:line="276"/>
      </w:pPr>
      <w:r>
        <w:rPr>
          <w:rFonts w:ascii="Calibri" w:cs="Calibri" w:eastAsia="Calibri" w:hAnsi="Calibri"/>
          <w:color w:val="333333"/>
          <w:sz w:val="24"/>
          <w:szCs w:val="24"/>
        </w:rPr>
        <w:t xml:space="preserve">If variant is correct: FCFA2S reaches $2.2B by FY2028E (vs. consensus ~$1.95B), driven by margin expansion and higher acquisition pace. At 28x FCFA2S, CSU would trade at CAD $3,800/share. If variant is wrong (Asseco signals systematic non-VMS risk, FCFA2S margin compresses to 13%): FY2028E FCFA2S = ~$1.7B; at 22x = CAD $2,400/share.</w:t>
      </w:r>
    </w:p>
    <w:p>
      <w:pPr>
        <w:spacing w:after="200" w:line="276"/>
      </w:pPr>
      <w:r>
        <w:rPr>
          <w:rFonts w:ascii="Calibri" w:cs="Calibri" w:eastAsia="Calibri" w:hAnsi="Calibri"/>
          <w:color w:val="333333"/>
          <w:sz w:val="24"/>
          <w:szCs w:val="24"/>
        </w:rPr>
        <w:t xml:space="preserve">Variant asymmetry: upside ~$1,441 (60.8%) vs. downside ~-$41 (-1.7%) from current price. This asymmetric payoff is the core of the investment case.</w:t>
      </w:r>
    </w:p>
    <w:p>
      <w:pPr>
        <w:spacing w:after="200" w:line="276"/>
      </w:pPr>
      <w:r>
        <w:rPr>
          <w:rFonts w:ascii="Calibri" w:cs="Calibri" w:eastAsia="Calibri" w:hAnsi="Calibri"/>
          <w:color w:val="333333"/>
          <w:sz w:val="24"/>
          <w:szCs w:val="24"/>
        </w:rPr>
        <w:t xml:space="preserve">Investor Implication: No informational edge exists on CSU's business quality -- it is universally understood. The edge is in disagreeing with consensus on the pace and scale of FCFA2S growth, where the margin expansion mechanism is structural and underappreciated.</w:t>
      </w:r>
    </w:p>
    <w:p>
      <w:pPr>
        <w:pStyle w:val="Heading1"/>
        <w:spacing w:after="120" w:before="240"/>
      </w:pPr>
      <w:r>
        <w:rPr>
          <w:rFonts w:ascii="Calibri" w:cs="Calibri" w:eastAsia="Calibri" w:hAnsi="Calibri"/>
          <w:b/>
          <w:bCs/>
          <w:color w:val="333333"/>
          <w:sz w:val="32"/>
          <w:szCs w:val="32"/>
        </w:rPr>
        <w:t xml:space="preserve">Section 10 -- Investment Recommendation</w:t>
      </w:r>
    </w:p>
    <w:p>
      <w:pPr>
        <w:pStyle w:val="Heading2"/>
        <w:spacing w:after="120" w:before="240"/>
      </w:pPr>
      <w:r>
        <w:rPr>
          <w:rFonts w:ascii="Calibri" w:cs="Calibri" w:eastAsia="Calibri" w:hAnsi="Calibri"/>
          <w:b/>
          <w:bCs/>
          <w:color w:val="006D6D"/>
          <w:sz w:val="28"/>
          <w:szCs w:val="28"/>
        </w:rPr>
        <w:t xml:space="preserve">Rating: BUY | 12-Month Price Target: CAD $2,750 (~16.6% upside)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Item</w:t>
            </w:r>
          </w:p>
        </w:tc>
        <w:tc>
          <w:tcPr>
            <w:tcW w:type="dxa" w:w="468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Value</w:t>
            </w:r>
          </w:p>
        </w:tc>
      </w:tr>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Rating</w:t>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BUY</w:t>
            </w:r>
          </w:p>
        </w:tc>
      </w:tr>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12-Month Price Target (CAD)</w:t>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$2,750</w:t>
            </w:r>
          </w:p>
        </w:tc>
      </w:tr>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Current Price (March 29, 2026, CAD)</w:t>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$2,358.89</w:t>
            </w:r>
          </w:p>
        </w:tc>
      </w:tr>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Upside to Target</w:t>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~16.6%</w:t>
            </w:r>
          </w:p>
        </w:tc>
      </w:tr>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Implied EV/FY2025 FCFA2S at Target</w:t>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~26.5x</w:t>
            </w:r>
          </w:p>
        </w:tc>
      </w:tr>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Bull Case 12-Month Target (CAD)</w:t>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$3,200</w:t>
            </w:r>
          </w:p>
        </w:tc>
      </w:tr>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Base Case 12-Month Target (CAD)</w:t>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$2,750</w:t>
            </w:r>
          </w:p>
        </w:tc>
      </w:tr>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Bear Case 12-Month Target (CAD)</w:t>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$1,900</w:t>
            </w:r>
          </w:p>
        </w:tc>
      </w:tr>
    </w:tbl>
    <w:p>
      <w:pPr>
        <w:spacing w:after="200"/>
      </w:pPr>
    </w:p>
    <w:p>
      <w:pPr>
        <w:pStyle w:val="Heading2"/>
        <w:spacing w:after="120" w:before="240"/>
      </w:pPr>
      <w:r>
        <w:rPr>
          <w:rFonts w:ascii="Calibri" w:cs="Calibri" w:eastAsia="Calibri" w:hAnsi="Calibri"/>
          <w:b/>
          <w:bCs/>
          <w:color w:val="006D6D"/>
          <w:sz w:val="28"/>
          <w:szCs w:val="28"/>
        </w:rPr>
        <w:t xml:space="preserve">10A -- Bull / Base / Bear Cases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1560"/>
        <w:gridCol w:w="1560"/>
        <w:gridCol w:w="1560"/>
        <w:gridCol w:w="1560"/>
        <w:gridCol w:w="1560"/>
      </w:tblGrid>
      <w:tr>
        <w:tc>
          <w:tcPr>
            <w:tcW w:type="dxa" w:w="156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Case</w:t>
            </w:r>
          </w:p>
        </w:tc>
        <w:tc>
          <w:tcPr>
            <w:tcW w:type="dxa" w:w="156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FY2026E Revenue</w:t>
            </w:r>
          </w:p>
        </w:tc>
        <w:tc>
          <w:tcPr>
            <w:tcW w:type="dxa" w:w="156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FY2026E FCFA2S</w:t>
            </w:r>
          </w:p>
        </w:tc>
        <w:tc>
          <w:tcPr>
            <w:tcW w:type="dxa" w:w="156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FY2026E EPS (USD, est)</w:t>
            </w:r>
          </w:p>
        </w:tc>
        <w:tc>
          <w:tcPr>
            <w:tcW w:type="dxa" w:w="156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Implied Price (CAD)</w:t>
            </w:r>
          </w:p>
        </w:tc>
        <w:tc>
          <w:tcPr>
            <w:tcW w:type="dxa" w:w="156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Drivers</w:t>
            </w:r>
          </w:p>
        </w:tc>
      </w:tr>
      <w:tr>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Bull</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$13,500M (+16%)</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$2,050M (FCFA2S margin 15.2%)</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USD ~$26.50 (normalized, ex-Asseco)</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CAD ~$3,200</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Acquisition pace accelerates to $2B+; FCFA2S margin expands; Topicus/Lumine add material deal flow; market re-rates to 30x FCFA2S</w:t>
            </w:r>
          </w:p>
        </w:tc>
      </w:tr>
      <w:tr>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Base</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$12,785M (+10%)</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$1,850M (FCFA2S margin 14.5%)</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USD ~$24.00</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CAD ~$2,750</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Acquisition pace sustains ~$1.5B/year; organic growth ~5%; FCFA2S margin flat; market re-rates to 26-27x FCFA2S</w:t>
            </w:r>
          </w:p>
        </w:tc>
      </w:tr>
      <w:tr>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Bear</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$11,800M (+2%)</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$1,500M (FCFA2S margin 12.7%)</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USD ~$19.50</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CAD ~$1,900</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Acquisition pace slows to &lt;$1B/year; non-VMS write-downs recur; organic growth decelerates; market de-rates to 20x FCFA2S</w:t>
            </w:r>
          </w:p>
        </w:tc>
      </w:tr>
    </w:tbl>
    <w:p>
      <w:pPr>
        <w:spacing w:after="200"/>
      </w:pPr>
    </w:p>
    <w:p>
      <w:pPr>
        <w:pStyle w:val="Heading2"/>
        <w:spacing w:after="120" w:before="240"/>
      </w:pPr>
      <w:r>
        <w:rPr>
          <w:rFonts w:ascii="Calibri" w:cs="Calibri" w:eastAsia="Calibri" w:hAnsi="Calibri"/>
          <w:b/>
          <w:bCs/>
          <w:color w:val="006D6D"/>
          <w:sz w:val="28"/>
          <w:szCs w:val="28"/>
        </w:rPr>
        <w:t xml:space="preserve">10B -- Rating-Change Triggers</w:t>
      </w:r>
    </w:p>
    <w:p>
      <w:pPr>
        <w:spacing w:after="200" w:line="276"/>
      </w:pPr>
      <w:r>
        <w:rPr>
          <w:rFonts w:ascii="Calibri" w:cs="Calibri" w:eastAsia="Calibri" w:hAnsi="Calibri"/>
          <w:color w:val="333333"/>
          <w:sz w:val="24"/>
          <w:szCs w:val="24"/>
        </w:rPr>
        <w:t xml:space="preserve">Trigger 1 (Upgrade to Strong Buy): FCFA2S margin expands above 15.5% for two consecutive quarters AND Topicus/Lumine combined acquisition spend exceeds $500M in any trailing 12-month period. Observable from quarterly press releases.</w:t>
      </w:r>
    </w:p>
    <w:p>
      <w:pPr>
        <w:spacing w:after="200" w:line="276"/>
      </w:pPr>
      <w:r>
        <w:rPr>
          <w:rFonts w:ascii="Calibri" w:cs="Calibri" w:eastAsia="Calibri" w:hAnsi="Calibri"/>
          <w:color w:val="333333"/>
          <w:sz w:val="24"/>
          <w:szCs w:val="24"/>
        </w:rPr>
        <w:t xml:space="preserve">Trigger 2 (Downgrade to Hold): Annual FCFA2S growth falls below 5% YoY for two consecutive years, OR CSU announces a second non-VMS equity-method investment &gt;$200M without a credible return framework. Observable from annual press releases.</w:t>
      </w:r>
    </w:p>
    <w:p>
      <w:pPr>
        <w:spacing w:after="200" w:line="276"/>
      </w:pPr>
      <w:r>
        <w:rPr>
          <w:rFonts w:ascii="Calibri" w:cs="Calibri" w:eastAsia="Calibri" w:hAnsi="Calibri"/>
          <w:color w:val="333333"/>
          <w:sz w:val="24"/>
          <w:szCs w:val="24"/>
        </w:rPr>
        <w:t xml:space="preserve">Trigger 3 (Downgrade to Sell): Mark Leonard departs from an executive or governance role without a named successor who has demonstrated equivalent capital allocation philosophy. Observable via press release or proxy circular.</w:t>
      </w:r>
    </w:p>
    <w:p>
      <w:pPr>
        <w:spacing w:after="200" w:line="276"/>
      </w:pPr>
      <w:r>
        <w:rPr>
          <w:rFonts w:ascii="Calibri" w:cs="Calibri" w:eastAsia="Calibri" w:hAnsi="Calibri"/>
          <w:color w:val="333333"/>
          <w:sz w:val="24"/>
          <w:szCs w:val="24"/>
        </w:rPr>
        <w:t xml:space="preserve">Investor Implication: The BUY thesis is grounded in FCFA2S growth and autonomous subsidiary expansion optionality. The rating is not contingent on a re-rating narrative alone -- it is driven by fundamental cash flow growth that will eventually force multiple expansion regardless of sentiment.</w:t>
      </w:r>
    </w:p>
    <w:p>
      <w:pPr>
        <w:pStyle w:val="Heading1"/>
        <w:spacing w:after="120" w:before="240"/>
      </w:pPr>
      <w:r>
        <w:rPr>
          <w:rFonts w:ascii="Calibri" w:cs="Calibri" w:eastAsia="Calibri" w:hAnsi="Calibri"/>
          <w:b/>
          <w:bCs/>
          <w:color w:val="333333"/>
          <w:sz w:val="32"/>
          <w:szCs w:val="32"/>
        </w:rPr>
        <w:t xml:space="preserve">Section 11 -- Appendix: Operational Metrics Dashboard</w:t>
      </w:r>
    </w:p>
    <w:p>
      <w:pPr>
        <w:spacing w:after="200" w:line="276"/>
      </w:pPr>
      <w:r>
        <w:rPr>
          <w:rFonts w:ascii="Calibri" w:cs="Calibri" w:eastAsia="Calibri" w:hAnsi="Calibri"/>
          <w:color w:val="333333"/>
          <w:sz w:val="24"/>
          <w:szCs w:val="24"/>
        </w:rPr>
        <w:t xml:space="preserve">All figures sourced from quarterly press releases. Figures in USD millions unless stated.</w:t>
      </w:r>
    </w:p>
    <w:p>
      <w:pPr>
        <w:pStyle w:val="Heading2"/>
        <w:spacing w:after="120" w:before="240"/>
      </w:pPr>
      <w:r>
        <w:rPr>
          <w:rFonts w:ascii="Calibri" w:cs="Calibri" w:eastAsia="Calibri" w:hAnsi="Calibri"/>
          <w:b/>
          <w:bCs/>
          <w:color w:val="006D6D"/>
          <w:sz w:val="28"/>
          <w:szCs w:val="28"/>
        </w:rPr>
        <w:t xml:space="preserve">Quarterly Financial Summary: Q1 2023 -- Q4 2025</w:t>
      </w:r>
    </w:p>
    <w:p>
      <w:pPr>
        <w:spacing w:after="200" w:line="276"/>
      </w:pPr>
      <w:r>
        <w:rPr>
          <w:rFonts w:ascii="Calibri" w:cs="Calibri" w:eastAsia="Calibri" w:hAnsi="Calibri"/>
          <w:color w:val="333333"/>
          <w:sz w:val="24"/>
          <w:szCs w:val="24"/>
        </w:rPr>
        <w:t xml:space="preserve">Note: Q4 figures derived as: FY annual minus 9-month (Q1-Q3) total.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37"/>
        <w:gridCol w:w="1337"/>
        <w:gridCol w:w="1337"/>
        <w:gridCol w:w="1337"/>
        <w:gridCol w:w="1337"/>
        <w:gridCol w:w="1337"/>
        <w:gridCol w:w="1337"/>
      </w:tblGrid>
      <w:tr>
        <w:tc>
          <w:tcPr>
            <w:tcW w:type="dxa" w:w="1337"/>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Period</w:t>
            </w:r>
          </w:p>
        </w:tc>
        <w:tc>
          <w:tcPr>
            <w:tcW w:type="dxa" w:w="1337"/>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Revenue</w:t>
            </w:r>
          </w:p>
        </w:tc>
        <w:tc>
          <w:tcPr>
            <w:tcW w:type="dxa" w:w="1337"/>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CFO</w:t>
            </w:r>
          </w:p>
        </w:tc>
        <w:tc>
          <w:tcPr>
            <w:tcW w:type="dxa" w:w="1337"/>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FCFA2S</w:t>
            </w:r>
          </w:p>
        </w:tc>
        <w:tc>
          <w:tcPr>
            <w:tcW w:type="dxa" w:w="1337"/>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Organic Growth</w:t>
            </w:r>
          </w:p>
        </w:tc>
        <w:tc>
          <w:tcPr>
            <w:tcW w:type="dxa" w:w="1337"/>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Cash</w:t>
            </w:r>
          </w:p>
        </w:tc>
        <w:tc>
          <w:tcPr>
            <w:tcW w:type="dxa" w:w="1337"/>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Total Assets</w:t>
            </w:r>
          </w:p>
        </w:tc>
      </w:tr>
      <w:tr>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Q4 2025 (derived)</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$3,177M*</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$788M*</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$424M*</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n/a</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$3,089M</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$16,171M</w:t>
            </w:r>
          </w:p>
        </w:tc>
      </w:tr>
      <w:tr>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Q3 2025</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$2,948M</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$685M</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$529M</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+5%</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$2,770M</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$15,326M</w:t>
            </w:r>
          </w:p>
        </w:tc>
      </w:tr>
      <w:tr>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Q2 2025 (derived)</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~$2,800M</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n/a</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~$380M</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n/a</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n/a</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n/a</w:t>
            </w:r>
          </w:p>
        </w:tc>
      </w:tr>
      <w:tr>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Q1 2025 (derived)</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~$2,698M</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n/a</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~$350M</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n/a</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n/a</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n/a</w:t>
            </w:r>
          </w:p>
        </w:tc>
      </w:tr>
      <w:tr>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Q4 2024 (derived)</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$2,581M*</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n/a</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$312M*</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n/a</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$1,980M</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$12,863M</w:t>
            </w:r>
          </w:p>
        </w:tc>
      </w:tr>
      <w:tr>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Q3 2024</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~$2,600M</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n/a</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~$380M</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n/a</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n/a</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n/a</w:t>
            </w:r>
          </w:p>
        </w:tc>
      </w:tr>
      <w:tr>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Q4 2023 (derived)</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$2,207M*</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n/a</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$267M*</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n/a</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$1,284M</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$10,899M</w:t>
            </w:r>
          </w:p>
        </w:tc>
      </w:tr>
      <w:tr>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Q4 2022 (derived)</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$1,783M*</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n/a</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$207M*</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n/a</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$811M</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$7,882M</w:t>
            </w:r>
          </w:p>
        </w:tc>
      </w:tr>
      <w:tr>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Q4 2021 (derived)</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$1,395M*</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n/a</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$224M*</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n/a</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$763M</w:t>
            </w:r>
          </w:p>
        </w:tc>
        <w:tc>
          <w:tcPr>
            <w:tcW w:type="dxa" w:w="1337"/>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$5,766M</w:t>
            </w:r>
          </w:p>
        </w:tc>
      </w:tr>
    </w:tbl>
    <w:p>
      <w:pPr>
        <w:spacing w:after="200"/>
      </w:pPr>
    </w:p>
    <w:p>
      <w:pPr>
        <w:pStyle w:val="Heading2"/>
        <w:spacing w:after="120" w:before="240"/>
      </w:pPr>
      <w:r>
        <w:rPr>
          <w:rFonts w:ascii="Calibri" w:cs="Calibri" w:eastAsia="Calibri" w:hAnsi="Calibri"/>
          <w:b/>
          <w:bCs/>
          <w:color w:val="006D6D"/>
          <w:sz w:val="28"/>
          <w:szCs w:val="28"/>
        </w:rPr>
        <w:t xml:space="preserve">Revenue Mix Trend (Available Periods)</w:t>
      </w:r>
    </w:p>
    <w:p>
      <w:pPr>
        <w:spacing w:after="200" w:line="276"/>
      </w:pPr>
      <w:r>
        <w:rPr>
          <w:rFonts w:ascii="Calibri" w:cs="Calibri" w:eastAsia="Calibri" w:hAnsi="Calibri"/>
          <w:color w:val="333333"/>
          <w:sz w:val="24"/>
          <w:szCs w:val="24"/>
        </w:rPr>
        <w:t xml:space="preserve">Q3 2025 mix sourced from Q3 2025 Press Release. FY2025 and FY2024 full-year splits estimated by applying Q3 2025 mix to annual totals -- flagged as estimated, not disclosed.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1560"/>
        <w:gridCol w:w="1560"/>
        <w:gridCol w:w="1560"/>
        <w:gridCol w:w="1560"/>
        <w:gridCol w:w="1560"/>
      </w:tblGrid>
      <w:tr>
        <w:tc>
          <w:tcPr>
            <w:tcW w:type="dxa" w:w="156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Period</w:t>
            </w:r>
          </w:p>
        </w:tc>
        <w:tc>
          <w:tcPr>
            <w:tcW w:type="dxa" w:w="156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Maintenance</w:t>
            </w:r>
          </w:p>
        </w:tc>
        <w:tc>
          <w:tcPr>
            <w:tcW w:type="dxa" w:w="156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Professional Services</w:t>
            </w:r>
          </w:p>
        </w:tc>
        <w:tc>
          <w:tcPr>
            <w:tcW w:type="dxa" w:w="156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License</w:t>
            </w:r>
          </w:p>
        </w:tc>
        <w:tc>
          <w:tcPr>
            <w:tcW w:type="dxa" w:w="156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Hardware</w:t>
            </w:r>
          </w:p>
        </w:tc>
        <w:tc>
          <w:tcPr>
            <w:tcW w:type="dxa" w:w="156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Total Revenue</w:t>
            </w:r>
          </w:p>
        </w:tc>
      </w:tr>
      <w:tr>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Q3 2025</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$2,213M (75.1%)</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$538M (18.2%)</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$107M (3.6%)</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$89M (3.0%)</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$2,948M</w:t>
            </w:r>
          </w:p>
        </w:tc>
      </w:tr>
      <w:tr>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FY2025 (full year est.)</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~$8,717M (75%)</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~$2,092M (18%)</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~$465M (4%)</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~$349M (3%)</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$11,623M</w:t>
            </w:r>
          </w:p>
        </w:tc>
      </w:tr>
      <w:tr>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FY2024 (estimated)</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~$7,550M (75%)</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~$1,812M (18%)</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~$403M (4%)</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~$302M (3%)</w:t>
            </w:r>
          </w:p>
        </w:tc>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$10,066M</w:t>
            </w:r>
          </w:p>
        </w:tc>
      </w:tr>
    </w:tbl>
    <w:p>
      <w:pPr>
        <w:spacing w:after="200"/>
      </w:pPr>
    </w:p>
    <w:p>
      <w:pPr>
        <w:pStyle w:val="Heading2"/>
        <w:spacing w:after="120" w:before="240"/>
      </w:pPr>
      <w:r>
        <w:rPr>
          <w:rFonts w:ascii="Calibri" w:cs="Calibri" w:eastAsia="Calibri" w:hAnsi="Calibri"/>
          <w:b/>
          <w:bCs/>
          <w:color w:val="006D6D"/>
          <w:sz w:val="28"/>
          <w:szCs w:val="28"/>
        </w:rPr>
        <w:t xml:space="preserve">Five-Year Acquisition Spend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Year</w:t>
            </w:r>
          </w:p>
        </w:tc>
        <w:tc>
          <w:tcPr>
            <w:tcW w:type="dxa" w:w="312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Gross Cash Acquisition Spend</w:t>
            </w:r>
          </w:p>
        </w:tc>
        <w:tc>
          <w:tcPr>
            <w:tcW w:type="dxa" w:w="312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Source</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FY2021</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$1,224M</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FY2021 Press Release</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FY2022</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$1,633M</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FY2022 Press Release</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FY2023</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$1,609M</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FY2023 Press Release</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FY2024</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$1,347M</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FY2024 Press Release</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FY2025</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$1,579M</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FY2025 annual results (released March 9, 2026)</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5-Year Total</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$7,392M</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Average $1,478M/year</w:t>
            </w:r>
          </w:p>
        </w:tc>
      </w:tr>
    </w:tbl>
    <w:p>
      <w:pPr>
        <w:spacing w:after="200"/>
      </w:pPr>
    </w:p>
    <w:p>
      <w:pPr>
        <w:pStyle w:val="Heading1"/>
        <w:spacing w:after="120" w:before="240"/>
      </w:pPr>
      <w:r>
        <w:rPr>
          <w:rFonts w:ascii="Calibri" w:cs="Calibri" w:eastAsia="Calibri" w:hAnsi="Calibri"/>
          <w:b/>
          <w:bCs/>
          <w:color w:val="333333"/>
          <w:sz w:val="32"/>
          <w:szCs w:val="32"/>
        </w:rPr>
        <w:t xml:space="preserve">Appendix A -- Closed Book Gap Audit</w:t>
      </w:r>
    </w:p>
    <w:p>
      <w:pPr>
        <w:spacing w:after="200" w:line="276"/>
      </w:pPr>
      <w:r>
        <w:rPr>
          <w:rFonts w:ascii="Calibri" w:cs="Calibri" w:eastAsia="Calibri" w:hAnsi="Calibri"/>
          <w:color w:val="333333"/>
          <w:sz w:val="24"/>
          <w:szCs w:val="24"/>
        </w:rPr>
        <w:t xml:space="preserve">The following audit identifies gaps in the preceding analysis that arise from data not available in the press release documents reviewed. Each gap is categorized by impact and fillability.</w:t>
      </w:r>
    </w:p>
    <w:p>
      <w:pPr>
        <w:pStyle w:val="Heading2"/>
        <w:spacing w:after="120" w:before="240"/>
      </w:pPr>
      <w:r>
        <w:rPr>
          <w:rFonts w:ascii="Calibri" w:cs="Calibri" w:eastAsia="Calibri" w:hAnsi="Calibri"/>
          <w:b/>
          <w:bCs/>
          <w:color w:val="006D6D"/>
          <w:sz w:val="28"/>
          <w:szCs w:val="28"/>
        </w:rPr>
        <w:t xml:space="preserve">Gap 0: Company Profile -- Subsections Completed</w:t>
      </w:r>
    </w:p>
    <w:p>
      <w:pPr>
        <w:spacing w:after="200" w:line="276"/>
      </w:pPr>
      <w:r>
        <w:rPr>
          <w:rFonts w:ascii="Calibri" w:cs="Calibri" w:eastAsia="Calibri" w:hAnsi="Calibri"/>
          <w:color w:val="333333"/>
          <w:sz w:val="24"/>
          <w:szCs w:val="24"/>
        </w:rPr>
        <w:t xml:space="preserve">All five subsections (0A-0E) have been populated. Key structural gap: operating group revenue and EBITDA splits not disclosed in press releases. KPI inventory is complete for disclosed metrics; undisclosed KPIs are cataloged separately.</w:t>
      </w:r>
    </w:p>
    <w:p>
      <w:pPr>
        <w:pStyle w:val="Heading2"/>
        <w:spacing w:after="120" w:before="240"/>
      </w:pPr>
      <w:r>
        <w:rPr>
          <w:rFonts w:ascii="Calibri" w:cs="Calibri" w:eastAsia="Calibri" w:hAnsi="Calibri"/>
          <w:b/>
          <w:bCs/>
          <w:color w:val="006D6D"/>
          <w:sz w:val="28"/>
          <w:szCs w:val="28"/>
        </w:rPr>
        <w:t xml:space="preserve">Gap 1: Economic EBITDA / SBC-Adjusted Profitability</w:t>
      </w:r>
    </w:p>
    <w:p>
      <w:pPr>
        <w:spacing w:after="200" w:line="276"/>
      </w:pPr>
      <w:r>
        <w:rPr>
          <w:rFonts w:ascii="Calibri" w:cs="Calibri" w:eastAsia="Calibri" w:hAnsi="Calibri"/>
          <w:color w:val="333333"/>
          <w:sz w:val="24"/>
          <w:szCs w:val="24"/>
        </w:rPr>
        <w:t xml:space="preserve">[!] REVISION NEEDED. SBC expense not disclosed in press release format. EBITDA not separately disclosed by management (who use FCFA2S as primary metric). Cannot compute Economic EBITDA. Fill: SEDAR annual report (Management's Discussion &amp; Analysis, employee compensation notes). Impact: Section 5B. Bias: Optimism (SBC is likely &gt;0 and reduces economic earnings).</w:t>
      </w:r>
    </w:p>
    <w:p>
      <w:pPr>
        <w:pStyle w:val="Heading2"/>
        <w:spacing w:after="120" w:before="240"/>
      </w:pPr>
      <w:r>
        <w:rPr>
          <w:rFonts w:ascii="Calibri" w:cs="Calibri" w:eastAsia="Calibri" w:hAnsi="Calibri"/>
          <w:b/>
          <w:bCs/>
          <w:color w:val="006D6D"/>
          <w:sz w:val="28"/>
          <w:szCs w:val="28"/>
        </w:rPr>
        <w:t xml:space="preserve">Gap 2: Customer Acquisition Cost Methodology</w:t>
      </w:r>
    </w:p>
    <w:p>
      <w:pPr>
        <w:spacing w:after="200" w:line="276"/>
      </w:pPr>
      <w:r>
        <w:rPr>
          <w:rFonts w:ascii="Calibri" w:cs="Calibri" w:eastAsia="Calibri" w:hAnsi="Calibri"/>
          <w:color w:val="333333"/>
          <w:sz w:val="24"/>
          <w:szCs w:val="24"/>
        </w:rPr>
        <w:t xml:space="preserve">[!] REVISION NEEDED. No customer count, churn rate, or S&amp;M expense disclosed. CAC derived via M&amp;A acquisition price proxy -- non-standard but the only available methodology given disclosure constraints. Sensitivity table provided in Section 4A. Impact: Section 4. Bias: Cannot determine direction without customer data.</w:t>
      </w:r>
    </w:p>
    <w:p>
      <w:pPr>
        <w:pStyle w:val="Heading2"/>
        <w:spacing w:after="120" w:before="240"/>
      </w:pPr>
      <w:r>
        <w:rPr>
          <w:rFonts w:ascii="Calibri" w:cs="Calibri" w:eastAsia="Calibri" w:hAnsi="Calibri"/>
          <w:b/>
          <w:bCs/>
          <w:color w:val="006D6D"/>
          <w:sz w:val="28"/>
          <w:szCs w:val="28"/>
        </w:rPr>
        <w:t xml:space="preserve">Gap 3: LTV/CAC Sensitivity to Margin Assumptions</w:t>
      </w:r>
    </w:p>
    <w:p>
      <w:pPr>
        <w:spacing w:after="200" w:line="276"/>
      </w:pPr>
      <w:r>
        <w:rPr>
          <w:rFonts w:ascii="Calibri" w:cs="Calibri" w:eastAsia="Calibri" w:hAnsi="Calibri"/>
          <w:color w:val="333333"/>
          <w:sz w:val="24"/>
          <w:szCs w:val="24"/>
        </w:rPr>
        <w:t xml:space="preserve">Addressed in Section 4B with a 4-scenario table using industry-standard VMS margin ranges. All scenarios yield LTV/CAC &gt;1.4x; base case 3-4x (healthy). Limitation: Specific CSU cohort data would tighten the range significantly.</w:t>
      </w:r>
    </w:p>
    <w:p>
      <w:pPr>
        <w:pStyle w:val="Heading2"/>
        <w:spacing w:after="120" w:before="240"/>
      </w:pPr>
      <w:r>
        <w:rPr>
          <w:rFonts w:ascii="Calibri" w:cs="Calibri" w:eastAsia="Calibri" w:hAnsi="Calibri"/>
          <w:b/>
          <w:bCs/>
          <w:color w:val="006D6D"/>
          <w:sz w:val="28"/>
          <w:szCs w:val="28"/>
        </w:rPr>
        <w:t xml:space="preserve">Gap 4: Variant Perception</w:t>
      </w:r>
    </w:p>
    <w:p>
      <w:pPr>
        <w:spacing w:after="200" w:line="276"/>
      </w:pPr>
      <w:r>
        <w:rPr>
          <w:rFonts w:ascii="Calibri" w:cs="Calibri" w:eastAsia="Calibri" w:hAnsi="Calibri"/>
          <w:color w:val="333333"/>
          <w:sz w:val="24"/>
          <w:szCs w:val="24"/>
        </w:rPr>
        <w:t xml:space="preserve">Completed in Section 9. Three distinct variant theses presented with falsification tests and quantified valuation impact. No revision needed.</w:t>
      </w:r>
    </w:p>
    <w:p>
      <w:pPr>
        <w:pStyle w:val="Heading2"/>
        <w:spacing w:after="120" w:before="240"/>
      </w:pPr>
      <w:r>
        <w:rPr>
          <w:rFonts w:ascii="Calibri" w:cs="Calibri" w:eastAsia="Calibri" w:hAnsi="Calibri"/>
          <w:b/>
          <w:bCs/>
          <w:color w:val="006D6D"/>
          <w:sz w:val="28"/>
          <w:szCs w:val="28"/>
        </w:rPr>
        <w:t xml:space="preserve">Gap 5: Risk Quantification in Currency Terms</w:t>
      </w:r>
    </w:p>
    <w:p>
      <w:pPr>
        <w:spacing w:after="200" w:line="276"/>
      </w:pPr>
      <w:r>
        <w:rPr>
          <w:rFonts w:ascii="Calibri" w:cs="Calibri" w:eastAsia="Calibri" w:hAnsi="Calibri"/>
          <w:color w:val="333333"/>
          <w:sz w:val="24"/>
          <w:szCs w:val="24"/>
        </w:rPr>
        <w:t xml:space="preserve">Completed in Section 6D. Five risks quantified with P(risk) x FCF impact = expected FCF drag. Aggregate risk-adjusted discount of CAD $168/share incorporated in Section 7D. No revision needed.</w:t>
      </w:r>
    </w:p>
    <w:p>
      <w:pPr>
        <w:pStyle w:val="Heading2"/>
        <w:spacing w:after="120" w:before="240"/>
      </w:pPr>
      <w:r>
        <w:rPr>
          <w:rFonts w:ascii="Calibri" w:cs="Calibri" w:eastAsia="Calibri" w:hAnsi="Calibri"/>
          <w:b/>
          <w:bCs/>
          <w:color w:val="006D6D"/>
          <w:sz w:val="28"/>
          <w:szCs w:val="28"/>
        </w:rPr>
        <w:t xml:space="preserve">Gap 6: Accounting Discontinuities</w:t>
      </w:r>
    </w:p>
    <w:p>
      <w:pPr>
        <w:spacing w:after="200" w:line="276"/>
      </w:pPr>
      <w:r>
        <w:rPr>
          <w:rFonts w:ascii="Calibri" w:cs="Calibri" w:eastAsia="Calibri" w:hAnsi="Calibri"/>
          <w:color w:val="333333"/>
          <w:sz w:val="24"/>
          <w:szCs w:val="24"/>
        </w:rPr>
        <w:t xml:space="preserve">Key discontinuity identified and disclosed: FY2025 GAAP net income and EPS are not comparable to FY2024 due to the $260M non-cash Asseco Poland equity-method revaluation charge (Q3 2025 income statement). FCFA2S is unaffected by this charge (it uses CFO as starting point, and non-cash charges do not affect CFO). Revenue and FCFA2S series are continuous and comparable across FY2021-FY2025. No other accounting discontinuities identified in the available press releases.</w:t>
      </w:r>
    </w:p>
    <w:p>
      <w:pPr>
        <w:pStyle w:val="Heading2"/>
        <w:spacing w:after="120" w:before="240"/>
      </w:pPr>
      <w:r>
        <w:rPr>
          <w:rFonts w:ascii="Calibri" w:cs="Calibri" w:eastAsia="Calibri" w:hAnsi="Calibri"/>
          <w:b/>
          <w:bCs/>
          <w:color w:val="006D6D"/>
          <w:sz w:val="28"/>
          <w:szCs w:val="28"/>
        </w:rPr>
        <w:t xml:space="preserve">Gap 7: Undiscussed Risks</w:t>
      </w:r>
    </w:p>
    <w:p>
      <w:pPr>
        <w:spacing w:after="200" w:line="276"/>
      </w:pPr>
      <w:r>
        <w:rPr>
          <w:rFonts w:ascii="Calibri" w:cs="Calibri" w:eastAsia="Calibri" w:hAnsi="Calibri"/>
          <w:color w:val="333333"/>
          <w:sz w:val="24"/>
          <w:szCs w:val="24"/>
        </w:rPr>
        <w:t xml:space="preserve">Two undiscussed risks identified: (1) Key-person dependency on Mark Leonard -- covered in Section 6C, Risk 5. (2) Topicus/Lumine autonomous subsidiary model creating internal competition for VMS acquisition targets -- not discussed in management disclosures, but logically present as Topicus scales. P(material impact): 15%. FCF impact: -$50-80M (if internal competition inflates deal prices for CSU's core groups). Expected annual FCF drag: ~$10M. Incorporated in the risk framework.</w:t>
      </w:r>
    </w:p>
    <w:p>
      <w:pPr>
        <w:pStyle w:val="Heading1"/>
        <w:spacing w:after="120" w:before="240"/>
      </w:pPr>
      <w:r>
        <w:rPr>
          <w:rFonts w:ascii="Calibri" w:cs="Calibri" w:eastAsia="Calibri" w:hAnsi="Calibri"/>
          <w:b/>
          <w:bCs/>
          <w:color w:val="333333"/>
          <w:sz w:val="32"/>
          <w:szCs w:val="32"/>
        </w:rPr>
        <w:t xml:space="preserve">Appendix B -- Open Book Valuation: Market Data Incorporated</w:t>
      </w:r>
    </w:p>
    <w:p>
      <w:pPr>
        <w:spacing w:after="200" w:line="276"/>
      </w:pPr>
      <w:r>
        <w:rPr>
          <w:rFonts w:ascii="Calibri" w:cs="Calibri" w:eastAsia="Calibri" w:hAnsi="Calibri"/>
          <w:color w:val="333333"/>
          <w:sz w:val="24"/>
          <w:szCs w:val="24"/>
        </w:rPr>
        <w:t xml:space="preserve">Note: Competitor financial data (FCF, market cap) sourced from web/secondary sources for comparables table only. All CSU financial figures are sourced exclusively from company filings. Per the Strict Source-Only Data Rule, no training-data financial figures have been used for CSU.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Item</w:t>
            </w:r>
          </w:p>
        </w:tc>
        <w:tc>
          <w:tcPr>
            <w:tcW w:type="dxa" w:w="312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Value</w:t>
            </w:r>
          </w:p>
        </w:tc>
        <w:tc>
          <w:tcPr>
            <w:tcW w:type="dxa" w:w="3120"/>
            <w:tcBorders>
              <w:top w:val="single" w:color="CCCCCC" w:sz="1"/>
              <w:left w:val="single" w:color="CCCCCC" w:sz="1"/>
              <w:bottom w:val="single" w:color="CCCCCC" w:sz="1"/>
              <w:right w:val="single" w:color="CCCCCC" w:sz="1"/>
            </w:tcBorders>
            <w:shd w:fill="E0F0F0" w:val="clear"/>
            <w:tcMar>
              <w:top w:type="dxa" w:w="80"/>
              <w:left w:type="dxa" w:w="120"/>
              <w:bottom w:type="dxa" w:w="80"/>
              <w:right w:type="dxa" w:w="120"/>
            </w:tcMar>
          </w:tcPr>
          <w:p>
            <w:pPr>
              <w:jc w:val="left"/>
            </w:pPr>
            <w:r>
              <w:rPr>
                <w:rFonts w:ascii="Calibri" w:cs="Calibri" w:eastAsia="Calibri" w:hAnsi="Calibri"/>
                <w:b/>
                <w:bCs/>
                <w:color w:val="333333"/>
                <w:sz w:val="22"/>
                <w:szCs w:val="22"/>
              </w:rPr>
              <w:t xml:space="preserve">Source / Notes</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CSU Share Price (CAD)</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CAD $2,358.89</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TSX closing price, March 29, 2026</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Market Capitalization (CAD)</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~CAD $49.99B</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~21.2M shares x CAD $2,358.89</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GoC 10-Year Bond Yield</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3.59%</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Risk-free rate for WACC build-up</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USD/CAD Exchange Rate</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1.39</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March 29, 2026; used for all USD/CAD conversions</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Peer: Roper Technologies (ROP) Market Cap</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~USD $68B</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Market data, March 2026 [WEB/SECONDARY]</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Peer: Tyler Technologies (TYL) Market Cap</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~USD $22B</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Market data, March 2026 [WEB/SECONDARY]</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Peer: Topicus.com (TOI.V) Market Cap</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~CAD $8B</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Market data, March 2026 [WEB/SECONDARY]</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CIBC Analyst Price Target for CSU</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CAD $2,450</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alibri" w:cs="Calibri" w:eastAsia="Calibri" w:hAnsi="Calibri"/>
                <w:color w:val="333333"/>
                <w:sz w:val="22"/>
                <w:szCs w:val="22"/>
              </w:rPr>
              <w:t xml:space="preserve">Reported in public media, March 2026 [WEB/SECONDARY]</w:t>
            </w:r>
          </w:p>
        </w:tc>
      </w:tr>
    </w:tbl>
    <w:p>
      <w:pPr>
        <w:spacing w:after="200"/>
      </w:pPr>
    </w:p>
    <w:p>
      <w:pPr>
        <w:pStyle w:val="Heading1"/>
        <w:spacing w:after="120" w:before="240"/>
      </w:pPr>
      <w:r>
        <w:rPr>
          <w:rFonts w:ascii="Calibri" w:cs="Calibri" w:eastAsia="Calibri" w:hAnsi="Calibri"/>
          <w:b/>
          <w:bCs/>
          <w:color w:val="333333"/>
          <w:sz w:val="32"/>
          <w:szCs w:val="32"/>
        </w:rPr>
        <w:t xml:space="preserve">Disclosures and Important Notices</w:t>
      </w:r>
    </w:p>
    <w:p>
      <w:pPr>
        <w:spacing w:after="200" w:line="276"/>
      </w:pPr>
      <w:r>
        <w:rPr>
          <w:rFonts w:ascii="Calibri" w:cs="Calibri" w:eastAsia="Calibri" w:hAnsi="Calibri"/>
          <w:color w:val="333333"/>
          <w:sz w:val="24"/>
          <w:szCs w:val="24"/>
        </w:rPr>
        <w:t xml:space="preserve">This report was prepared using publicly available information including company press releases, shareholder letters, and disclosed market data. All financial figures for Constellation Software Inc. are sourced from the company's own filings. Competitor data is sourced from public market information and is used for comparative purposes only.</w:t>
      </w:r>
    </w:p>
    <w:p>
      <w:pPr>
        <w:spacing w:after="200" w:line="276"/>
      </w:pPr>
      <w:r>
        <w:rPr>
          <w:rFonts w:ascii="Calibri" w:cs="Calibri" w:eastAsia="Calibri" w:hAnsi="Calibri"/>
          <w:color w:val="333333"/>
          <w:sz w:val="24"/>
          <w:szCs w:val="24"/>
        </w:rPr>
        <w:t xml:space="preserve">This document is produced for informational and analytical purposes. It does not constitute investment advice. Past performance of any security is not indicative of future returns. All forward-looking statements and projections are estimates based on the analysis contained herein and are subject to material uncertainty.</w:t>
      </w:r>
    </w:p>
    <w:p>
      <w:pPr>
        <w:spacing w:after="200" w:line="276"/>
      </w:pPr>
      <w:r>
        <w:rPr>
          <w:rFonts w:ascii="Calibri" w:cs="Calibri" w:eastAsia="Calibri" w:hAnsi="Calibri"/>
          <w:color w:val="333333"/>
          <w:sz w:val="24"/>
          <w:szCs w:val="24"/>
        </w:rPr>
        <w:t xml:space="preserve">Currency: All CSU financial figures are in USD unless otherwise noted. Price targets and market capitalizations for TSX-listed securities are in CAD. Exchange rate: CAD/USD 1.39 as at March 29, 2026.</w:t>
      </w:r>
    </w:p>
    <w:p>
      <w:pPr>
        <w:spacing w:after="200" w:line="276"/>
      </w:pPr>
      <w:r>
        <w:rPr>
          <w:rFonts w:ascii="Calibri" w:cs="Calibri" w:eastAsia="Calibri" w:hAnsi="Calibri"/>
          <w:color w:val="333333"/>
          <w:sz w:val="24"/>
          <w:szCs w:val="24"/>
        </w:rPr>
        <w:t xml:space="preserve">Report Date: March 29, 2026.</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999999"/>
        <w:sz w:val="18"/>
        <w:szCs w:val="18"/>
      </w:rPr>
      <w:t xml:space="preserve">Page </w:t>
    </w:r>
    <w:r>
      <w:rPr>
        <w:rFonts w:ascii="Calibri" w:cs="Calibri" w:eastAsia="Calibri" w:hAnsi="Calibri"/>
        <w:color w:val="999999"/>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i/>
        <w:iCs/>
        <w:color w:val="999999"/>
        <w:sz w:val="18"/>
        <w:szCs w:val="18"/>
      </w:rPr>
      <w:t xml:space="preserve">Constellation Software Inc. (TSX: CSU)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Calibri" w:cs="Calibri" w:eastAsia="Calibri" w:hAnsi="Calibri"/>
      <w:b/>
      <w:bCs/>
      <w:color w:val="333333"/>
      <w:sz w:val="32"/>
      <w:szCs w:val="32"/>
    </w:rPr>
  </w:style>
  <w:style w:type="paragraph" w:styleId="Heading2">
    <w:name w:val="Heading 2"/>
    <w:basedOn w:val="Normal"/>
    <w:next w:val="Normal"/>
    <w:qFormat/>
    <w:pPr>
      <w:spacing w:after="120" w:before="180"/>
      <w:outlineLvl w:val="1"/>
    </w:pPr>
    <w:rPr>
      <w:rFonts w:ascii="Calibri" w:cs="Calibri" w:eastAsia="Calibri" w:hAnsi="Calibri"/>
      <w:b/>
      <w:bCs/>
      <w:color w:val="006D6D"/>
      <w:sz w:val="28"/>
      <w:szCs w:val="28"/>
    </w:rPr>
  </w:style>
  <w:style w:type="paragraph" w:styleId="Heading3">
    <w:name w:val="Heading 3"/>
    <w:basedOn w:val="Normal"/>
    <w:next w:val="Normal"/>
    <w:qFormat/>
    <w:pPr>
      <w:spacing w:after="80" w:before="120"/>
      <w:outlineLvl w:val="2"/>
    </w:pPr>
    <w:rPr>
      <w:rFonts w:ascii="Calibri" w:cs="Calibri" w:eastAsia="Calibri" w:hAnsi="Calibri"/>
      <w:b/>
      <w:bCs/>
      <w:color w:val="006D6D"/>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2026-03-30T13:55:50.580Z</dcterms:created>
  <dcterms:modified xsi:type="dcterms:W3CDTF">2026-03-30T13:55:50.581Z</dcterms:modified>
</cp:coreProperties>
</file>

<file path=docProps/custom.xml><?xml version="1.0" encoding="utf-8"?>
<Properties xmlns="http://schemas.openxmlformats.org/officeDocument/2006/custom-properties" xmlns:vt="http://schemas.openxmlformats.org/officeDocument/2006/docPropsVTypes"/>
</file>